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c48b2461e476d0001ad40843c22f4391c2909"/>
    <w:p>
      <w:pPr>
        <w:pStyle w:val="Heading3"/>
      </w:pPr>
      <w:r>
        <w:t xml:space="preserve">Московские власти поддержали столичную наружку на 700 млн рублей</w:t>
      </w:r>
    </w:p>
    <w:p>
      <w:pPr>
        <w:pStyle w:val="FirstParagraph"/>
      </w:pPr>
      <w:r>
        <w:t xml:space="preserve">30.09.2020</w:t>
      </w:r>
    </w:p>
    <w:p>
      <w:pPr>
        <w:pStyle w:val="BodyText"/>
      </w:pPr>
      <w:r>
        <w:t xml:space="preserve">Напомним, в список системообразующих организаций, утверждённый правительством РФ, вошли Russ Outdoor и Gallery. Кроме того, в мае мэр Москвы Сергей Собянин подписал постановление, согласно которому, в частности, операторы наружной рекламы, могли воспользоваться освобождением либо рассрочкой по обязательным платежам в городской бюджет. В конце августа власти Москвы продлили действие антикризисных мер поддержки операторов наружной рекламы, пострадавших из-за распространения новой коронавирусной инфекции. Рассрочка по оплате действия договоров на право установки рекламных конструкций путем зачета денежных средств из ранее внесенных обеспечительных платежей (платы за 10-й год действия договоров) будет действовать в течение шести месяцев 2020 г. вместо ранее установленного срока в три месяца.</w:t>
      </w:r>
      <w:r>
        <w:t xml:space="preserve"> </w:t>
      </w:r>
      <w:r>
        <w:t xml:space="preserve">По оценкам АКАР, в первом полугодии 2020 г. объём российского рынка ooh-рекламы сократился на 30% по сравнению с аналогичным период прошлого года и составил 14,5-14,9 млрд руб. (за вычетом НДС). Самое большое снижение продемонстрировал сегмент рекламы в кинотеатрах – минус 50% (180 млн руб.).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http://gorinfor.mos.ru/presscenter/news/detail/9285927.html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9285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9285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2024-06-25T03:37:42Z</dcterms:created>
  <dcterms:modified xsi:type="dcterms:W3CDTF">2024-06-25T03:37:42Z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