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доброволец-москвы-2020"/>
    <w:p>
      <w:pPr>
        <w:pStyle w:val="Heading3"/>
      </w:pPr>
      <w:r>
        <w:t xml:space="preserve">Доброволец Москвы 2020</w:t>
      </w:r>
    </w:p>
    <w:p>
      <w:pPr>
        <w:pStyle w:val="FirstParagraph"/>
      </w:pPr>
      <w:r>
        <w:t xml:space="preserve">14.09.2020</w:t>
      </w:r>
    </w:p>
    <w:p>
      <w:pPr>
        <w:pStyle w:val="BodyText"/>
      </w:pPr>
      <w:r>
        <w:drawing>
          <wp:inline>
            <wp:extent cx="5334000" cy="68458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rinfor.mos.ru/www/Доброволец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8458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http://gorinfor.mos.ru/presscenter/news/detail/9230119.html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rinfor.mos.ru" TargetMode="External" /><Relationship Type="http://schemas.openxmlformats.org/officeDocument/2006/relationships/hyperlink" Id="rId23" Target="http://gorinfor.mos.ru/presscenter/news/detail/92301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rinfor.mos.ru" TargetMode="External" /><Relationship Type="http://schemas.openxmlformats.org/officeDocument/2006/relationships/hyperlink" Id="rId23" Target="http://gorinfor.mos.ru/presscenter/news/detail/92301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2024-08-21T17:04:13Z</dcterms:created>
  <dcterms:modified xsi:type="dcterms:W3CDTF">2024-08-21T17:04:13Z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