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8492cb00c84e9029bd4c7dab2e96fac88797f"/>
    <w:p>
      <w:pPr>
        <w:pStyle w:val="Heading3"/>
      </w:pPr>
      <w:r>
        <w:t xml:space="preserve">Russ Outdoor расширяет в Москве сеть рекламоносителей на остановках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Ежедневно в Москве услугами наземного транспорта пользуются более 5,5 млн пассажиров, в среднем через одну остановку проходит порядка 2 тыс. человек, при этом время ожидания транспорта составляет 8 мин., что не только делает данный медианоситель охватным, но и обеспечивает высокую длительность контакта.</w:t>
      </w:r>
      <w:r>
        <w:t xml:space="preserve"> </w:t>
      </w:r>
      <w:r>
        <w:t xml:space="preserve">Остановки «Мосгортранса» располагаются как на центральных магистралях, так и в спальных районах Москвы. Большая зона покрытия позволяет использовать остановочные павильоны в медиамиксе для увеличения охвата и продолжительности контакта.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http://gorinfor.mos.ru/presscenter/news/detail/9208206.html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2024-06-25T09:09:41Z</dcterms:created>
  <dcterms:modified xsi:type="dcterms:W3CDTF">2024-06-25T09:09:41Z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