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b2680c813f5531d37510f74a7dc33a363a055"/>
    <w:p>
      <w:pPr>
        <w:pStyle w:val="Heading3"/>
      </w:pPr>
      <w:r>
        <w:t xml:space="preserve">Клиенты и бюджеты возвращаются в наружную рекламу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Схожая ситуация – с наземным транспортом Москвы, с -75% в начале апреля и -66% в начале июня до -29% на 2 июля. Что касается каршеринга, то месяц назад в аренде находилось 2,1 тыс. машин, а на данный момент число поездок достигло 19 тыс.</w:t>
      </w:r>
      <w:r>
        <w:t xml:space="preserve"> </w:t>
      </w:r>
      <w:r>
        <w:t xml:space="preserve">В первую неделю июня аудитория наружной рекламы выросла на 10% по отношению к последней неделе мая, а май, в свою очередь, прибавил 34% аудитории по сравнению с апрелем, подсчитала компания AdMetrix.</w:t>
      </w:r>
      <w:r>
        <w:t xml:space="preserve"> </w:t>
      </w:r>
      <w:r>
        <w:t xml:space="preserve">В Москве у крупнейшего игрока на российском рынке – группы компаний Russ Outdoor – число рекламодателей в июне выросло на 38% по сравнению с маем. Кроме того, клиенты вдвое увеличили (+106%) бюджеты на размещение в столице. По России выросли на +83% к маю, по Санкт-Петербургу – на +53%.</w:t>
      </w:r>
      <w:r>
        <w:t xml:space="preserve"> </w:t>
      </w:r>
      <w:r>
        <w:t xml:space="preserve">Одними из первых присутствие в out-of-home нарастили застройщики, для которых наружная реклама традиционно является стратегическим медиа. Так, компания «Самолет девелопмент» разместила кампанию на 112 поверхностях группы компаний Russ Outdoor.</w:t>
      </w:r>
      <w:r>
        <w:t xml:space="preserve"> </w:t>
      </w:r>
      <w:r>
        <w:t xml:space="preserve">Застройщикам, как и другим категориям рекламодателей, важно получить большой охват, низкий CPT по сравнению с другими медиа, и таргетироваться на аудиторию, живущую или работающую в конкретном районе. Согласно свежему исследованию Mediascope Brand Pulse, щиты рядом с дорогой входят в топ-3 самых заметных рекламных форматов наряду с акциями в магазинах и телерекламой. В первой десятке также реклама на остановках городского транспорта и конструкции на стенах и крышах зданий.</w:t>
      </w:r>
      <w:r>
        <w:t xml:space="preserve"> </w:t>
      </w:r>
      <w:r>
        <w:t xml:space="preserve">Помимо девелоперов увеличилась активность автопроизводителей, дилеров и профильных сервисов. В июне в outdoor вернулись бренды BMW, Mercedes, Hyundai, Lexus, Mazda, производители шин и масел Michelin, Nokian, Neste Oil, сервисные центры «Реноклуб» и «Знак качества», онлайн-маркетплейс CarPrice – всего более 30 компаний.</w:t>
      </w:r>
      <w:r>
        <w:t xml:space="preserve"> </w:t>
      </w:r>
      <w:r>
        <w:t xml:space="preserve">Основные преимущества наружной рекламы перед другими каналами – большой охват, низкий CPT по сравнению с другими медиа, и таргетинг на аудиторию, живущую или работающую в этом районе. У наружной рекламы есть большое доверие как к публичному медиа, при запуске новых рекламных кампаний доверие потребителей возрастает к предложению рекламодателей.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http://gorinfor.mos.ru/presscenter/news/detail/9208193.html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208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2025-03-01T14:55:44Z</dcterms:created>
  <dcterms:modified xsi:type="dcterms:W3CDTF">2025-03-01T14:55:44Z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