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86aa1618388e3bf85af1c5cc5cc3d4a1357a"/>
    <w:p>
      <w:pPr>
        <w:pStyle w:val="Heading3"/>
      </w:pPr>
      <w:r>
        <w:t xml:space="preserve">Из-за COVID-19 количество наружной рекламы в Москве снизилось на 80-90%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t xml:space="preserve">Он добавил, что сейчас медианосители в столице задействованы в реализации широкой рекламно-информационной кампании, в рамках которой горожанам дают рекомендации по профилактике коронавирусной инфекции, разъясняют правила поведения в сложившейся ситуации.</w:t>
      </w:r>
      <w:r>
        <w:t xml:space="preserve"> </w:t>
      </w:r>
      <w:r>
        <w:t xml:space="preserve">Из-за распространения коронавируса в Москве отменили все массовые мероприятия, закрыты клубы, кинотеатры, кафе и другие организации. До конца мая жители обязаны соблюдать режим самоизоляции.</w:t>
      </w:r>
      <w:r>
        <w:t xml:space="preserve"> </w:t>
      </w:r>
      <w:r>
        <w:t xml:space="preserve">Источник: РИАМО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http://gorinfor.mos.ru/presscenter/news/detail/8925621.html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925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925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2024-06-25T09:39:34Z</dcterms:created>
  <dcterms:modified xsi:type="dcterms:W3CDTF">2024-06-25T09:39:34Z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