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7f335defa322c10bc862f2dbcdd879498166"/>
    <w:p>
      <w:pPr>
        <w:pStyle w:val="Heading3"/>
      </w:pPr>
      <w:r>
        <w:t xml:space="preserve">Московский кредитный банк привлек покупателей в офисы с помощью рекламы в столичном метро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Выбранный рекламный формат, отвечающий требованиям поставленной задачи, – стикеры 60х30 и 90х18, которые за счет расположения в зонах максимальной проходимости, обеспечивают повышенное количество контактов аудитории.</w:t>
      </w:r>
      <w:r>
        <w:t xml:space="preserve"> </w:t>
      </w:r>
      <w:r>
        <w:t xml:space="preserve">В адресную программу вошли шесть веток метро, с высокой плотностью пассажиропотока: Серпуховско-Тимирязевская, Замоскворецкая, Кольцевая, Калужско-Рижская, Сокольническая и Арбатско-Покровская.</w:t>
      </w:r>
      <w:r>
        <w:t xml:space="preserve"> </w:t>
      </w:r>
      <w:r>
        <w:t xml:space="preserve">«Мы регулярно используем высокоохватные визуальные медиа в рекламных кампаниях банка, направленных на массового потребителя. С начала 2020 г., убедившись, что сервис по размещению рекламы в Московском метрополитене хорошо отлажен, мы запустили пилотное размещение нашего локомотивного вклада для физических лиц на шести линиях. Положительная динамика трафика клиентов в офисы продаж позволяет надеяться на дальнейшее взаимовыгодное сотрудничество по информированию пассажиров метро о предложениях МКБ», – подчеркнул начальник управления рекламы и брендинга МКБ Руслан Ершков.</w:t>
      </w:r>
      <w:r>
        <w:t xml:space="preserve"> </w:t>
      </w:r>
      <w:r>
        <w:t xml:space="preserve">По итогам рекламной кампании OTS составил 28 млн контактов, GRP – 279 (показатели посчитаны на основании данных Admetrix).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http://gorinfor.mos.ru/presscenter/news/detail/8795470.html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2025-06-12T01:14:17Z</dcterms:created>
  <dcterms:modified xsi:type="dcterms:W3CDTF">2025-06-12T01:14:17Z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