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c2ff81acc362ee4f3306ecbd846799f998730"/>
    <w:p>
      <w:pPr>
        <w:pStyle w:val="Heading3"/>
      </w:pPr>
      <w:r>
        <w:t xml:space="preserve">Рекламная кампания «Трекрезан» прошла в столичной подземке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Зима – период вирусов и простуд, и, максимально важно своевременно проинформировать население о наличии противовирусных препаратов. А для того, чтобы донести это до широкой аудитории – необходимо определить и выбрать правильный канал коммуникации. Медианосители в поездах московского метро, как нельзя лучше отвечают требованиям этой задачи – ежедневный суммарный пассажиропоток Московского метро превышает 9 млн человек.</w:t>
      </w:r>
      <w:r>
        <w:t xml:space="preserve"> </w:t>
      </w:r>
      <w:r>
        <w:t xml:space="preserve">Данный формат стикеров благодаря особенностям расположения на панели над оконными проемами позволяет обеспечить длительный зрительный контакт с рекламным сообщением (средняя длительность поездки составляет 40 мин.) и отличный обзор, даже при высокой плотности потока. В виду осуществления регулярных поездок пассажирами – рекламные сообщения обладают высокой атрибутивностью.</w:t>
      </w:r>
      <w:r>
        <w:t xml:space="preserve"> </w:t>
      </w:r>
      <w:r>
        <w:t xml:space="preserve">По итогам рекламной кампании (декабрь 2019 – январь 2020, ЦА – 18+) общий охват составил 32% (это порядка 3,2 млн пассажиров). Благодаря таким медиапоказателям фармацевтические компании оценивают метро, как один из наиболее эффективных и охватных медиаканалов, который регулярно включают в свой медиамикс.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http://gorinfor.mos.ru/presscenter/news/detail/8712861.html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2024-08-24T17:08:18Z</dcterms:created>
  <dcterms:modified xsi:type="dcterms:W3CDTF">2024-08-24T17:08:18Z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