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61b21d80e137711ec0a1845b77ed3592c18bf"/>
    <w:p>
      <w:pPr>
        <w:pStyle w:val="Heading3"/>
      </w:pPr>
      <w:r>
        <w:t xml:space="preserve">Московский бюджет не ожидает потерь от наружки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По словам представителей департамента рекламы и СМИ Москвы, компании Russ Outdoor, Gallery, «Олимп», «Расвэро» и ХПО (входит в «Руан») осуществили выплаты в соответствии с графиком. Ситуацию стабилизировала возможность платить за аренду поквартально, при этом Москва постепенно сокращает объем рекламы «из-за градостроительной ситуации».</w:t>
      </w:r>
      <w:r>
        <w:t xml:space="preserve"> </w:t>
      </w:r>
      <w:r>
        <w:t xml:space="preserve">Напомним, в конце 2018 г. столичные власти приняли решение о том, что операторы наружной рекламы могут платить арендную плату поквартально. Ранее были возможны только годовые выплаты, которые оказались для некоторых операторов слишком тяжелыми: город расторгал договоры с операторами, которые задерживали выплаты.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http://gorinfor.mos.ru/presscenter/news/detail/8712857.html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2025-07-29T14:33:16Z</dcterms:created>
  <dcterms:modified xsi:type="dcterms:W3CDTF">2025-07-29T14:33:16Z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