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f0d7f982ade6877a6ccc378c0bb0d8113b27d"/>
    <w:p>
      <w:pPr>
        <w:pStyle w:val="Heading3"/>
      </w:pPr>
      <w:r>
        <w:t xml:space="preserve">Медиаметрия рекламного инвентаря Московского метро впервые посчитана в Nebo.digital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На первом этапе произведена оценка стикеров в вагонах метро, на втором этапе, который планируется закончить до конца января, будет произведена оценка OTS видеоэкранов. В феврале 2020 г. будут готовы показатели по лайтбоксам в переходах и монитору на станции Савеловская.</w:t>
      </w:r>
      <w:r>
        <w:t xml:space="preserve"> </w:t>
      </w:r>
      <w:r>
        <w:t xml:space="preserve">В вагонах Московского метрополитена используются 10 типов рекламных стикеров, которые располагаются согласно схемам размещения для каждого типа вагонов.</w:t>
      </w:r>
      <w:r>
        <w:t xml:space="preserve"> </w:t>
      </w:r>
      <w:r>
        <w:t xml:space="preserve">Оценка медиаметрических характеристик в подвижном составе проводилась на основе следующих вводных и данных: пассажиропоток в вагоне, расчёты на основе факторов вероятности увидеть рекламный носитель, в том числе с учётом перемещения пассажиров в вагоне. Основными критериями эффективности рекламного формата, выражающими объём аудитории, являются два показателя – GRP и OTS.</w:t>
      </w:r>
      <w:r>
        <w:t xml:space="preserve"> </w:t>
      </w:r>
      <w:r>
        <w:t xml:space="preserve">«Ежедневный пассажиропоток Московского метрополитена более 9 млн. человек, при этом нам важно предоставить клиентам возможность качественно формировать свои программы в метро, используя показатели OTS и GRP. Каждый рекламный формат на любой линии имеет свои уникальные показатели. Ключевое преимущество рекламы в метрополитене именно в качестве и длительности контакта с аудиторией, что даёт высокую атрибуцию, не имеющую аналогов на рынке классического ooh», – говорит коммерческий директор NEBO.digital Вероника Бордунова.</w:t>
      </w:r>
      <w:r>
        <w:t xml:space="preserve"> </w:t>
      </w:r>
      <w:r>
        <w:t xml:space="preserve">На основании оценки возможности увидеть рекламный носитель в вагонах метрополитена лидируют такие форматы, как стикеры 60х72, 60х30 1 и 2 ярусы, 90х18, 75х12. Коэффициент видимости рекламного носителя зависит от геометрических характеристик вагона, размеров и его расположения в вагоне.</w:t>
      </w:r>
      <w:r>
        <w:t xml:space="preserve"> </w:t>
      </w:r>
      <w:r>
        <w:t xml:space="preserve">Если говорить об OTS носителей в вагоне, которые рассчитываются из пассажиропотока с учетом фактора перемещения пассажиров и коэффициента видимости, то здесь бесспорными лидерами являются стикеры 60х30 1 ярус, 60х72, а также 75х12 и 45х50.</w:t>
      </w:r>
      <w:r>
        <w:t xml:space="preserve"> </w:t>
      </w:r>
      <w:r>
        <w:t xml:space="preserve">«Никогда ещё у рынка не было возможности сравнить метро и другие медиа. Пересечение аудитории метрополитена и различных медиаканалов, замеры эффективности рекламы в метро – повод для отдельных специальных исследований, которые, я надеюсь, будут интересны рекламодателям и коллегам из NEBO.digital», – комментирует генеральный директор ADMETRIX Илья Шершуков.</w:t>
      </w:r>
      <w:r>
        <w:t xml:space="preserve"> </w:t>
      </w:r>
      <w:r>
        <w:t xml:space="preserve">Train-38x80 (1).png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http://gorinfor.mos.ru/presscenter/news/detail/8712850.html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2025-07-21T21:31:08Z</dcterms:created>
  <dcterms:modified xsi:type="dcterms:W3CDTF">2025-07-21T21:31:08Z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