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31c074e24cca95f2b360d6b147bf1eea3376"/>
    <w:p>
      <w:pPr>
        <w:pStyle w:val="Heading3"/>
      </w:pPr>
      <w:r>
        <w:t xml:space="preserve">Русфонд на автобусах Москвы – о том, как спасти чью-то жизнь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В середине января сотрудники фонда провели в столице акцию прямо на маршруте одного из забрендированных снаружи и внутри автобусов. Пассажирам подробно рассказали о том, зачем нужна трансплантация костного мозга и что это такое, зачем нужен регистр доноров и как стать потенциальным донором, чтобы спасти чью-то жизнь.</w:t>
      </w:r>
      <w:r>
        <w:t xml:space="preserve"> </w:t>
      </w:r>
      <w:r>
        <w:t xml:space="preserve">Личное общение с пассажирами помогает привлечь еще больше внимания к размещаемой на городском транспорте информации по этой важной теме.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http://gorinfor.mos.ru/presscenter/news/detail/8630461.html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2025-03-13T05:34:21Z</dcterms:created>
  <dcterms:modified xsi:type="dcterms:W3CDTF">2025-03-13T05:34:21Z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