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b9a641b2a79a41a652455a95508feb5e36f08"/>
    <w:p>
      <w:pPr>
        <w:pStyle w:val="Heading3"/>
      </w:pPr>
      <w:r>
        <w:t xml:space="preserve">Gallery расширила сеть цифровых конструкций в Москве и Красноярске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«Активный рост нашей цифровой сети не замедлился благодаря слаженным усилиям команды. Даже в новогодние праздники работа была продолжена. В планах нашей компании на I полугодие 2020 г. – дальнейшее расширение цифровой сети и запуск около 200 новых цифровых экранов в Москве и других регионах», – говорит генеральный директор компании Мария Комарова.</w:t>
      </w:r>
      <w:r>
        <w:t xml:space="preserve"> </w:t>
      </w:r>
      <w:r>
        <w:t xml:space="preserve">Gallery продолжает системное развитие своей продуктовой линейки и запуск новых продуктов и технических решений для клиентов из разных секторов. Компания также активно развивает сегмент программатических закупок, запустив осенью 2019 г. продажи таргетированной цифровой наружной рекламы в Санкт-Петербурге в партнерстве с «Яндекс» и Mail.ru Group.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http://gorinfor.mos.ru/presscenter/news/detail/8630447.html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630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2024-07-25T00:43:44Z</dcterms:created>
  <dcterms:modified xsi:type="dcterms:W3CDTF">2024-07-25T00:43:44Z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