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4d206daeb254a5141fa6ae965bbe9b5f110be"/>
    <w:p>
      <w:pPr>
        <w:pStyle w:val="Heading3"/>
      </w:pPr>
      <w:r>
        <w:t xml:space="preserve">Gallery установила 200-й цифровой билборд в Москве</w:t>
      </w:r>
    </w:p>
    <w:p>
      <w:pPr>
        <w:pStyle w:val="FirstParagraph"/>
      </w:pPr>
      <w:r>
        <w:t xml:space="preserve">29.10.2019</w:t>
      </w:r>
    </w:p>
    <w:p>
      <w:pPr>
        <w:pStyle w:val="BodyText"/>
      </w:pPr>
      <w:r>
        <w:t xml:space="preserve">У Gallery амбициозные планы по цифровизации outdoor: к 1 декабря этого года количество цифровых конструкций оператора с технологией Wi-Fi-аналитики в Москве достигнет 245. На сегодня более 400 цифровых экранов Gallery, работающих по технологии WiFi-аналитики в 9 крупнейших городах России, фиксируют около 1.4 млн уникальных MAC-адресов в сутки.</w:t>
      </w:r>
      <w:r>
        <w:t xml:space="preserve"> </w:t>
      </w:r>
      <w:r>
        <w:t xml:space="preserve">По оценкам Gallery, объем российского рынка digital-рекламы в сегменте out-of-home по итогам 2019 г. составит 8,9 млрд руб., или до 25% от общего объема рынка ooh. По прогнозам на 2020 г., доля digital-рекламы будет расти и составит до 11,3 млрд руб, или не менее 30% рынка ooh.</w:t>
      </w:r>
      <w:r>
        <w:t xml:space="preserve"> </w:t>
      </w:r>
      <w:r>
        <w:t xml:space="preserve">«200 цифровых билбордов в Москве – знаковое событие для компании Gallery. Мы укрепляем лидирующие позиции на рынке DOOH России и не планируем останавливаться. У наших клиентов появляется всё больше возможностей для реализации своих задач на самом эффективном цифровом инвентаре. А в ближайшее время мы планируем вывести на рынок абсолютно новый и эксклюзивный продукт, который придаст импульс развитию всей индустрии». – отметил коммерческий директор Gallery Павел Белянин.</w:t>
      </w:r>
      <w:r>
        <w:t xml:space="preserve"> </w:t>
      </w:r>
      <w:r>
        <w:t xml:space="preserve">В сентябре 2019 г. на digital-размещения пришлось 30% от объема реализованных поверхностей оператора, и этот показатель продолжает неуклонно расти.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http://gorinfor.mos.ru/presscenter/news/detail/8452862.html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4528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4528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2025-07-30T09:31:25Z</dcterms:created>
  <dcterms:modified xsi:type="dcterms:W3CDTF">2025-07-30T09:31:25Z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