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2b177bddd78dbca4a8504b933fd334e8644850"/>
    <w:p>
      <w:pPr>
        <w:pStyle w:val="Heading3"/>
      </w:pPr>
      <w:r>
        <w:t xml:space="preserve">В Москве состоялась конференция «День Бренда 2019. Стагнация как рывок?»</w:t>
      </w:r>
    </w:p>
    <w:p>
      <w:pPr>
        <w:pStyle w:val="FirstParagraph"/>
      </w:pPr>
      <w:r>
        <w:t xml:space="preserve">29.10.2019</w:t>
      </w:r>
    </w:p>
    <w:p>
      <w:pPr>
        <w:pStyle w:val="BodyText"/>
      </w:pPr>
      <w:r>
        <w:t xml:space="preserve">В рамках пленарной секции состоялась дискуссия между маркетологами крупнейших брендов, представителями исследовательских компаний, площадок и агентского бизнеса. Участниками панели стали Алексей Поповичев (ассоциация «Русбренд»), Евгений Попов (Kantar TNS), Светлана Миливоевич-Панев (Coca-Cola Russia), Василий Большаков («Эльдорадо»), Руслан Тагиев (Mediascope), Алексей Толстоган (НРА), Леонид Савков («Яндекс»), Ольга Паскина («Национальная Медиа Группа»), Мария Донских (Dentsu Aegis Network Russia), Елена Кустова (АДВ).</w:t>
      </w:r>
      <w:r>
        <w:t xml:space="preserve"> </w:t>
      </w:r>
      <w:r>
        <w:t xml:space="preserve">Эксперты обсудили проблему трансформации бизнес-процессов, происходящих во всех сферах современного маркетинга и оказывающих значительное влияние на развитие экономики рекламной отрасли, а также рассмотрели вопрос, сможет ли индустрия использовать замедление темпов роста как отправную точку или драйвер качественных изменений.</w:t>
      </w:r>
      <w:r>
        <w:t xml:space="preserve"> </w:t>
      </w:r>
      <w:r>
        <w:t xml:space="preserve">Презентации спикеров «День Бренда 2019», фоторепортаж и другие материалы с конференции будут опубликованы на официальном сайте мероприятия и в спецпроекте на портале AdIndex.ru. Полная запись трансляции «День Бренда 2019» доступна на странице AdIndex в социальных сетях «ВКонтакте» и Facebook.</w:t>
      </w:r>
      <w:r>
        <w:t xml:space="preserve"> </w:t>
      </w:r>
      <w:r>
        <w:t xml:space="preserve">Организаторы мероприятия: «Русбренд», AdIndex, Mediascope, «Национальный Рекламный Альянс» (НРА).</w:t>
      </w:r>
      <w:r>
        <w:t xml:space="preserve"> </w:t>
      </w:r>
      <w:r>
        <w:t xml:space="preserve">Генеральный партнер: Mediainstinct Group</w:t>
      </w:r>
      <w:r>
        <w:t xml:space="preserve"> </w:t>
      </w:r>
      <w:r>
        <w:t xml:space="preserve">Индустриальные партнеры: Группа АДВ, Dentsu Aegis Network, OMD OM Group, ivi</w:t>
      </w:r>
      <w:r>
        <w:t xml:space="preserve"> </w:t>
      </w:r>
      <w:r>
        <w:t xml:space="preserve">Партнеры конференции: GroupM, «Яндекс», НТВ, Maer Group, Publicis Media</w:t>
      </w:r>
      <w:r>
        <w:t xml:space="preserve"> </w:t>
      </w:r>
      <w:r>
        <w:t xml:space="preserve">Информационные партнеры: официальная соцсеть конференции «ВКонтакте», радиопартнер – «Эхо Москвы», официальный телеканал конференции «МИР 24», СМИ2, Российская газета, ТАСС, Rusbase, газета Metro, Banki.ru, Outdoor Media, «Прайм», Breaking Trends, Телеканал «360»</w:t>
      </w:r>
      <w:r>
        <w:t xml:space="preserve"> </w:t>
      </w:r>
      <w:r>
        <w:t xml:space="preserve">Специальные партнеры: Batt Box, «Воды Здоровья», Jumpica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http://gorinfor.mos.ru/presscenter/news/detail/8452688.html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84526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84526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2025-07-29T14:41:44Z</dcterms:created>
  <dcterms:modified xsi:type="dcterms:W3CDTF">2025-07-29T14:41:44Z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