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a8fbed76f4ee170d38d872d046f184b82af85"/>
    <w:p>
      <w:pPr>
        <w:pStyle w:val="Heading3"/>
      </w:pPr>
      <w:r>
        <w:t xml:space="preserve">TMG предлагает тотально брендированный автобус на маршруте «Б» в Москве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Брендированный автобус TMG на этом востребованном рекламодателями маршруте будет служить некой альтернативой автобусам ГУП «Мосгорстранс», рекламное оформление которых, как известно, приостановлено.</w:t>
      </w:r>
      <w:r>
        <w:t xml:space="preserve"> </w:t>
      </w:r>
      <w:r>
        <w:t xml:space="preserve">Автобус можно будет тотально брендировать, разместив свыше 100 кв. м рекламы под любые задачи клиента. При этом, монтаж любого проекта на машруте «Б» осуществляется в стандартные сроки, что удобно для единовременного запуска рекламной кампании.</w:t>
      </w:r>
      <w:r>
        <w:t xml:space="preserve"> </w:t>
      </w:r>
      <w:r>
        <w:t xml:space="preserve">Также по индивидуальному запросу автобус может быть дополнительно оформлен световыми элементами и экстендером.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http://gorinfor.mos.ru/presscenter/news/detail/8373657.html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2025-07-27T14:58:05Z</dcterms:created>
  <dcterms:modified xsi:type="dcterms:W3CDTF">2025-07-27T14:58:05Z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