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574dc40e2f5e2ad1c386ec83f5a98ae017ce3"/>
    <w:p>
      <w:pPr>
        <w:pStyle w:val="Heading3"/>
      </w:pPr>
      <w:r>
        <w:t xml:space="preserve">Mail.ru Group начала продавать цифровую наружную рекламу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На начальном этапе будут задействованы цифровые конструкции Gallery в Москве, в ближайшее время – в Санкт-Петербурге. Условия партнерства стороны не раскрывают. По словам заместителя гендиректора по стратегическому развитию компании Gallery Татьяны Абрамовой, договор с Mail.ru Group подписан на год с возможностью пролонгации.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2024-06-26T11:29:56Z</dcterms:created>
  <dcterms:modified xsi:type="dcterms:W3CDTF">2024-06-26T11:29:56Z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