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оскве-запретят-коммерческие-граффити"/>
    <w:p>
      <w:pPr>
        <w:pStyle w:val="Heading3"/>
      </w:pPr>
      <w:r>
        <w:t xml:space="preserve">В Москве запретят коммерческие граффити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t xml:space="preserve">Объекты, которые не удовлетворяют указанным условиям, предстоит ликвидировать. Если сами создатели не сделают этого в течение 15 дней, надписи будут закрашены за счёт бюджетных средств. По словам экспертов, такая разновидность наружной рекламы в большей степени наносит вред внешнему виду города, нежели приносит положительные результаты. Задумываться о ликвидации таких объектов на всей территории города начали ещё год назад, уже тогда в столице их насчитывалось больше 160.</w:t>
      </w:r>
      <w:r>
        <w:t xml:space="preserve"> </w:t>
      </w:r>
      <w:r>
        <w:t xml:space="preserve">Источник: «Москва Online»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http://gorinfor.mos.ru/presscenter/news/detail/8253937.html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53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253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2024-06-28T02:45:29Z</dcterms:created>
  <dcterms:modified xsi:type="dcterms:W3CDTF">2024-06-28T02:45:29Z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