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ad0159e9bd17abececca67261b5bd50b17dd8"/>
    <w:p>
      <w:pPr>
        <w:pStyle w:val="Heading3"/>
      </w:pPr>
      <w:r>
        <w:t xml:space="preserve">Gallery продолжает активно развивать digital-сеть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t xml:space="preserve">«Мы до конца мая одновременно запускаем в Новосибирске – 20, в Саратове – 15, в Челябинске – четыре, в Екатеринбурге – семь и в Волгограде – 10 новых цифровых билбордов, – комментирует исполнительный директор Gallery Михаил Диев. – Это позволяет нам развивать нашу digital-сеть в запланированном четком графике и предлагать новые возможности рекламодателям. Таким образом Gallery формирует и выводит на рынок качественно новый продукт – широкомасштабное сетевое размещение на цифре».</w:t>
      </w:r>
      <w:r>
        <w:t xml:space="preserve"> </w:t>
      </w:r>
      <w:r>
        <w:t xml:space="preserve">Справка:</w:t>
      </w:r>
      <w:r>
        <w:t xml:space="preserve"> </w:t>
      </w:r>
      <w:r>
        <w:t xml:space="preserve">Gallery – российская компания, основана в 1994 г. Один из крупнейших операторов наружной рекламы России, осуществляющий полный спектр услуг по изготовлению, размещению и обслуживанию рекламных конструкций, включая билборды и призмы 3х6 м, цифровые билборды, остановочные павильоны, уличную мебель – ситиборды, скроллеры, пилоны, пиллары, крупный формат – суперборды, суперсайты, арки, брандмауэры, панели-кронштейны. В управлении компании находится более 13 тыс. собственных рекламных поверхностей в 80 городах России. Gallery считается флагманом digital-направления с крупнейшей в стране федеральной сетью цифровых рекламных поверхностей, насчитывающей 176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http://gorinfor.mos.ru/presscenter/news/detail/8092432.html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092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092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2025-04-26T14:27:10Z</dcterms:created>
  <dcterms:modified xsi:type="dcterms:W3CDTF">2025-04-26T14:27:10Z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