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d80ce0a6fea7797d83130319621aa7f8699839"/>
    <w:p>
      <w:pPr>
        <w:pStyle w:val="Heading3"/>
      </w:pPr>
      <w:r>
        <w:t xml:space="preserve">Планированием и размещением ooh-рекламы «Ростелекома» в 2019–2020 гг. займётся агентство «Игроник»</w:t>
      </w:r>
    </w:p>
    <w:p>
      <w:pPr>
        <w:pStyle w:val="FirstParagraph"/>
      </w:pPr>
      <w:r>
        <w:t xml:space="preserve">01.03.2019</w:t>
      </w:r>
    </w:p>
    <w:p>
      <w:pPr>
        <w:pStyle w:val="BodyText"/>
      </w:pPr>
      <w:r>
        <w:t xml:space="preserve">Кроме «Игроник» в тендере участвовали агентства Smart View (693 млн руб.)PHD (724 млн руб.) и OMD AMS (735,6 млн руб.).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http://gorinfor.mos.ru/presscenter/news/detail/7921491.html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79214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79214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2023-09-20T15:09:58Z</dcterms:created>
  <dcterms:modified xsi:type="dcterms:W3CDTF">2023-09-20T15:09:58Z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