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0f4e7033b82c2394a40f3e8f644c5d9d754f5"/>
    <w:p>
      <w:pPr>
        <w:pStyle w:val="Heading3"/>
      </w:pPr>
      <w:r>
        <w:t xml:space="preserve">«Ростелеком» готов потратить на наружную рекламу 767 млн рублей за два года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Победителю торгов предстоит осуществлять монтаж и демонтажу рекламоносителей на конструкциях разного формата (, билбордах, суперсайтах, световых экранах, ситилайтах и др.).</w:t>
      </w:r>
      <w:r>
        <w:t xml:space="preserve"> </w:t>
      </w:r>
      <w:r>
        <w:t xml:space="preserve">При этом, согласно тендерной документации, потенциальные подрядчики должны быть подписаны на сервисы M’Index, ICreative (база образцов рекламы в СМИ), Zodiac (оценка совокупной эффективности кампаний на различных рекламных носителях), Palomars Adex (мониторинг размещения рекламных материалов и оценка рекламных затрат) и ODAStat (анализ данных мониторинга наружной рекламы). А также являться участником одного из индустриальных рейтингов медийных агентств в части размещения наружной рекламы по итогам 2017 г. или первой половины 2018 г., подготовленных АКАР, AdIndex или RECMA.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http://gorinfor.mos.ru/presscenter/news/detail/7875338.html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2024-07-05T01:28:25Z</dcterms:created>
  <dcterms:modified xsi:type="dcterms:W3CDTF">2024-07-05T01:28:25Z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