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e38eb8db248aac5e2b91bb943d10c67e3eca9b"/>
    <w:p>
      <w:pPr>
        <w:pStyle w:val="Heading3"/>
      </w:pPr>
      <w:r>
        <w:t xml:space="preserve">Столичные операторы рассчитались по счетам</w:t>
      </w:r>
    </w:p>
    <w:p>
      <w:pPr>
        <w:pStyle w:val="FirstParagraph"/>
      </w:pPr>
      <w:r>
        <w:t xml:space="preserve">19.12.2018</w:t>
      </w:r>
    </w:p>
    <w:p>
      <w:pPr>
        <w:pStyle w:val="BodyText"/>
      </w:pPr>
      <w:r>
        <w:t xml:space="preserve">В этом году счета, выставленные городом, оказались меньше плановых. Russ Outdoor получила счет на 1,7 млрд руб., (базовая выплата – 2,7 млрд руб.), Gallery - 751 млн руб. (1,4 млрд руб.), «Расвэро» — 245 млн руб. (253 млн руб.), «Руан» — 290 млн руб. (1,5 млрд руб.). Ранее разница между плановыми выплатами и выставленными счетами объяснялась перерасчетом итоговых сумм с учетом простоя рекламных площадей и изменившейся градостроительной ситуацией, которая мешала установить конструкции.</w:t>
      </w:r>
      <w:r>
        <w:t xml:space="preserve"> </w:t>
      </w:r>
      <w:r>
        <w:t xml:space="preserve">Источник: Adindex.ru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http://gorinfor.mos.ru/presscenter/news/detail/7775598.html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77755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77755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2025-07-30T09:59:55Z</dcterms:created>
  <dcterms:modified xsi:type="dcterms:W3CDTF">2025-07-30T09:59:55Z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