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59998fe1c83679abdd130cfab76ec11cbd747"/>
    <w:p>
      <w:pPr>
        <w:pStyle w:val="Heading3"/>
      </w:pPr>
      <w:r>
        <w:t xml:space="preserve">Московское УФАС возбудило дело в отношении фитнес-клуб Republika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«Таким образом, отсутствие уточнений об условиях услуги вводило потребителей в заблуждение. Фраза «Вторая в подарок» приводило к вопросу «Что именно предоставляется в подарок - вторая фитнес-тренерша или вторая карта в фитнес-клуб?», – говорится в сообщении ведомства.</w:t>
      </w:r>
      <w:r>
        <w:t xml:space="preserve"> </w:t>
      </w:r>
      <w:r>
        <w:t xml:space="preserve">В итоге УФАС возбудило дело по признакам нарушения ч.7 ст.5 закона «О рекламе». В случае если нарушение будет доказано, компания может получить штраф в размере от 100 тыс. до 500 тыс. руб. Рассмотрение дела назначено на 14 ноября.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http://gorinfor.mos.ru/presscenter/news/detail/7739783.html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2025-06-26T00:02:57Z</dcterms:created>
  <dcterms:modified xsi:type="dcterms:W3CDTF">2025-06-26T00:02:57Z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