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22f0046f7fe33eaa981d664bf257de240867b"/>
    <w:p>
      <w:pPr>
        <w:pStyle w:val="Heading3"/>
      </w:pPr>
      <w:r>
        <w:t xml:space="preserve">В Москве проходит солнечная рекламная кампания радио «Восток FM»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Изюминкой акции стала реклама на городском наземном транспорте. По самым протяженным маршрутам ключевых направлений Москвы курсируют автобусы, брендированные солнечными имиджевыми макетами «Восток FM». Яркие и «сочные» автобусы притягивает взгляды автомобилистов, пешеходов и, конечно же, пассажиров.</w:t>
      </w:r>
      <w:r>
        <w:t xml:space="preserve"> </w:t>
      </w:r>
      <w:r>
        <w:t xml:space="preserve">Имиджевые макеты «Восток FM» также размещаются на крупнейших медиафасадах города, площадках Mail.ru, в социальной сети «Одноклассники» и публикуются в журналах.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http://gorinfor.mos.ru/presscenter/news/detail/7739757.html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2023-10-09T10:43:47Z</dcterms:created>
  <dcterms:modified xsi:type="dcterms:W3CDTF">2023-10-09T10:43:47Z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