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чта-россии-заработает-на-рекламе"/>
    <w:p>
      <w:pPr>
        <w:pStyle w:val="Heading3"/>
      </w:pPr>
      <w:r>
        <w:t xml:space="preserve">«Почта России» заработает на рекламе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В 2019 г. ФГУП планирует создать онлайн-платформу для работы с рекламными рассылками и начать улучшать качество направления. В 2019–2020 гг. – развивать компетенции по аналитике данных, что подразумевает работу над системой скоринга и составление единой базы клиентской информации, а также займется системой рекламных экранов. В 2020–2021 гг. ФГУП начнет предоставлять услуги мультиканальных рекламных рассылок. Наконец, сегмент наружной рекламы будет развиваться с 2020 г.: в это время планируется установить баннеры на зданиях.</w:t>
      </w:r>
      <w:r>
        <w:t xml:space="preserve"> </w:t>
      </w:r>
      <w:r>
        <w:t xml:space="preserve">Напомним, в мае этого года стало известно, что «Почта России» планирует разместить в своих почтовых отделениях цифровую сеть для трансляции видеорекламы. Инфраструктуру проекта обеспечит «Ростелеком». Соответствующее соглашение было подписано сторонами на Петербургском международном экономическом форуме. «Ростелеком» будет отвечать за каналы связи, установку мониторов и необходимого софта. «Почта России» займется поиском партнеров и рекламодателей.</w:t>
      </w:r>
      <w:r>
        <w:t xml:space="preserve"> </w:t>
      </w:r>
      <w:r>
        <w:t xml:space="preserve">По данным ФГУП «Почта России», ежедневно 42 тыс. почтовых отделений посещает 6 млн жителей страны. Эксперты позитивно оценивают планы ФГУП. По их мнению, рекламные площадки вполне могут принести «Почте России» запланированные доходы. Ooh-индустрия демонстрирует положительную динамику роста. По оценкам АКАР, в первом полугодии 2018 г. сегменты наружной и indoor-рекламы выросли каждый на 4% по сравнению с аналогичным периодом прошлого года (17,5 млрд руб. и 1,3 млрд руб. соответственно).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2023-09-20T15:19:19Z</dcterms:created>
  <dcterms:modified xsi:type="dcterms:W3CDTF">2023-09-20T15:19:19Z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