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клама-на-меркурии"/>
    <w:p>
      <w:pPr>
        <w:pStyle w:val="Heading3"/>
      </w:pPr>
      <w:r>
        <w:t xml:space="preserve">Реклама на «Меркурии»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  <w:r>
        <w:t xml:space="preserve">Теперь и в тёмное время суток рекламу Maserati можно увидеть с Садового кольца, ТТК, Звенигородского шоссе, Кутузовского проспекта, Нового Арбата, а также со всех столичных набережных, из центральных районов Москвы и МФДЦ «Москва-Сити». Днем итальянский бренд делит рекламные площади с российским брендом Aurus, изготовившим лимузин для Президента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http://gorinfor.mos.ru/presscenter/news/detail/7574289.html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574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574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2024-06-23T09:15:56Z</dcterms:created>
  <dcterms:modified xsi:type="dcterms:W3CDTF">2024-06-23T09:15:56Z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