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beccec50e8a27e4e0254407e8c7d715e17f59"/>
    <w:p>
      <w:pPr>
        <w:pStyle w:val="Heading3"/>
      </w:pPr>
      <w:r>
        <w:t xml:space="preserve">TMG стал эксклюзивным оператором рекламы на общественном транспорте Московской области</w:t>
      </w:r>
    </w:p>
    <w:p>
      <w:pPr>
        <w:pStyle w:val="FirstParagraph"/>
      </w:pPr>
      <w:r>
        <w:t xml:space="preserve">17.09.2018</w:t>
      </w:r>
    </w:p>
    <w:p>
      <w:pPr>
        <w:pStyle w:val="BodyText"/>
      </w:pPr>
      <w:r>
        <w:t xml:space="preserve">«Мы рады, что подписание долгосрочного договора стало логичным продолжением наших взаимоотношений с ГУП МО «Мострансавто», одной из крупнейших транспортных компаний страны. Для нас это не только важный, но и интересный контракт, т.к. при очевидном потенциале этого рынка, в то же время, нам предстоит работа с огромной транспортной логистикой на территории 45 тыс. кв. км., насчитывающей 73 города. Мы планируем инвестировать в рекламу на транспорте Подмосковья и полагаемся на свой 25-летний опыт не только в размещении рекламных проектов, но и в комплексном развитии рынка транспортной рекламы в тех регионах, где мы начинаем работать», – комментирует генеральный директор TMG Александр Эпин.</w:t>
      </w:r>
      <w:r>
        <w:t xml:space="preserve"> </w:t>
      </w:r>
      <w:r>
        <w:t xml:space="preserve">Подвижной состав ГУП МО «Мострансавто» насчитывает порядка 5 тыс. автобусов, которые обслуживают маршруты пригородного и междугороднего сообщения и перевозят 484 млн пассажиров в год. Сегодня в Московской области проживает около 7,5 млн. чел., и это количество ежегодно растет, т.к. жизнь за городом становится популярна, в том числе среди аудитории с высоким социально-демографическим статусом.</w:t>
      </w:r>
      <w:r>
        <w:t xml:space="preserve"> </w:t>
      </w:r>
      <w:r>
        <w:t xml:space="preserve">«За текущий год доходы «Мострансавто» от рекламы на транспорте увеличились на 44% за счет открытых продаж. Передача права размещения рекламы на бортах транспортных средств единому оператору позволит увеличить доход от данного вида деятельности еще минимум в два раза», – отмечают в Мострансавто.</w:t>
      </w:r>
      <w:r>
        <w:t xml:space="preserve"> </w:t>
      </w:r>
      <w:r>
        <w:t xml:space="preserve">Основными форматами размещения рекламы станут классическое полное брендирование и стандартные форматы (мобильные билборды и постеры) на бортах автобусов. Новый инвентарь будет обслуживаться по единому стандарту сервиса, аналитики и отчетности, которыми располагает оператор.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http://gorinfor.mos.ru/presscenter/news/detail/7574286.html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574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574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2024-06-25T09:05:30Z</dcterms:created>
  <dcterms:modified xsi:type="dcterms:W3CDTF">2024-06-25T09:05:30Z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