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e8b7f52175181d4421e9ddea95105b166d9c4"/>
    <w:p>
      <w:pPr>
        <w:pStyle w:val="Heading3"/>
      </w:pPr>
      <w:r>
        <w:t xml:space="preserve">Власти Москвы намерены упорядочить размещение граффити в столице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t xml:space="preserve">Столичный департамент СМИ и рекламы подготовил соответствующие поправки к закону о благоустройстве, которые существенно усложнят размещение рекламы на стенах домов. Их цель – запретить в столице партизанский маркетинг. По оценкам экспертов, объем рынка коммерческих граффити достиг 1 млрд руб. в год.</w:t>
      </w:r>
      <w:r>
        <w:t xml:space="preserve"> </w:t>
      </w:r>
      <w:r>
        <w:t xml:space="preserve">По данным департамента, в последние два года количество поверхностей, используемых под рекламные граффити, выросло с 44 до 166, они преимущественно расположены в центре. Новые правила, кроме запрета граффити на протокольных маршрутах ЧМ-2018, предполагают ряд ограничений: например, текстовая часть не сможет занимать более 30%. Каждому легальному граффити потребуется дизайн-проект, согласованный в худсовете при архитектурном совете Москвы и утвержденный в Москомархитектуре.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http://gorinfor.mos.ru/presscenter/news/detail/7376641.html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376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376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2024-06-25T19:58:44Z</dcterms:created>
  <dcterms:modified xsi:type="dcterms:W3CDTF">2024-06-25T19:58:44Z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