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50a3b4fe31f9afe0ec780a542583cfe33a02d"/>
    <w:p>
      <w:pPr>
        <w:pStyle w:val="Heading3"/>
      </w:pPr>
      <w:r>
        <w:t xml:space="preserve">Gallery будет размещать цифровую наружку через «Яндекс»</w:t>
      </w:r>
    </w:p>
    <w:p>
      <w:pPr>
        <w:pStyle w:val="FirstParagraph"/>
      </w:pPr>
      <w:r>
        <w:t xml:space="preserve">06.06.2018</w:t>
      </w:r>
    </w:p>
    <w:p>
      <w:pPr>
        <w:pStyle w:val="BodyText"/>
      </w:pPr>
      <w:r>
        <w:t xml:space="preserve">Подключение «Яндекса» к закупке наружной рекламы на цифровых билбордах Gallery станет логичным шагом в развитии продукта. В первую очередь, от этого выиграют рекламодатели, которые смогут размещать таргетированную рекламу в онлайне и офлайне через «одно окно». Продукт будет интересен как тем клиентам, которые уже активно используют наружную рекламу, так и новым категориям рекламодателей, которые продвигаются преимущественно в интернете.</w:t>
      </w:r>
      <w:r>
        <w:t xml:space="preserve"> </w:t>
      </w:r>
      <w:r>
        <w:t xml:space="preserve">Gallery последовательно развивает DOOH на российском рынке. В 2013 г. оператор первым установил в стране цифровые рекламные носители стандартного формата 6х3 м. За несколько лет диджитал-билборды появились в 12 городах присутствия компании. В 2016-м сеть таких конструкций в Москве была расширена до 100 единиц, что позволило рекламодателям проводить полноценные охватные рекламные кампании в столице, используя только цифровые щиты.</w:t>
      </w:r>
      <w:r>
        <w:t xml:space="preserve"> </w:t>
      </w:r>
      <w:r>
        <w:t xml:space="preserve">С начала 2017 г. Gallery запустила принципиально новую для российского ooh-рынка модель закупки наружной рекламы по контактам. Впервые рекламодатели стали платить не за аренду рекламного щита, а за количество реальных контактов рекламного сообщения с потенциальными потребителями – благодаря данным об аудитории от компании «Яндекс», которые аккумулируются в режиме онлайн, и тем возможностям, которые открывает цифровой формат для управления кампанией.</w:t>
      </w:r>
      <w:r>
        <w:t xml:space="preserve"> </w:t>
      </w:r>
      <w:r>
        <w:t xml:space="preserve">Источник: Outdoor.Ru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http://gorinfor.mos.ru/presscenter/news/detail/7376637.html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«Городская реклама и информация»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rinfor.mos.ru" TargetMode="External" /><Relationship Type="http://schemas.openxmlformats.org/officeDocument/2006/relationships/hyperlink" Id="rId20" Target="http://gorinfor.mos.ru/presscenter/news/detail/73766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rinfor.mos.ru" TargetMode="External" /><Relationship Type="http://schemas.openxmlformats.org/officeDocument/2006/relationships/hyperlink" Id="rId20" Target="http://gorinfor.mos.ru/presscenter/news/detail/73766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2024-06-27T22:16:35Z</dcterms:created>
  <dcterms:modified xsi:type="dcterms:W3CDTF">2024-06-27T22:16:35Z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