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115f84b8c684f180589e2218d2b723f296d26"/>
    <w:p>
      <w:pPr>
        <w:pStyle w:val="Heading3"/>
      </w:pPr>
      <w:r>
        <w:t xml:space="preserve">В Москве практически не осталось незаконных рекламных конструкций</w:t>
      </w:r>
    </w:p>
    <w:p>
      <w:pPr>
        <w:pStyle w:val="FirstParagraph"/>
      </w:pPr>
      <w:r>
        <w:t xml:space="preserve">27.02.2018</w:t>
      </w:r>
    </w:p>
    <w:p>
      <w:pPr>
        <w:pStyle w:val="BodyText"/>
      </w:pPr>
      <w:r>
        <w:t xml:space="preserve">Представитель пресс-службы уточнил, что в прошлом году в ТиНАО было демонтировано более 700 рекламных конструкций, разрешения на которые ранее выдавались властями Ленинского района Подмосковья. Срок действия этих разрешений закончился еще в 2017 г., и конструкции, в основном крупноформатные щиты, были убраны.</w:t>
      </w:r>
      <w:r>
        <w:t xml:space="preserve"> </w:t>
      </w:r>
      <w:r>
        <w:t xml:space="preserve">«Рынок наружной рекламы в столице сформировался по итогам аукционов 2013-2014 гг., и для недопущения нарушений в этой сфере сразу же был налажен систематический мониторинг рекламного пространства, который продолжает эффективно работать по сей день. Так что проблема незаконной рекламы в городе в целом решена», – заключили в департаменте.</w:t>
      </w:r>
      <w:r>
        <w:t xml:space="preserve"> </w:t>
      </w:r>
      <w:r>
        <w:t xml:space="preserve">Напомним, в конце января московский департамент СМИ и рекламы расторг с компанией ТРК последние пять договоров на право размещения наружной рекламы в столице, поскольку компания их не оплатила. По словам представителей ведомства, договоры расторгнуты ввиду просрочки авансовых платежей на общую сумму 1,43 млрд руб. за очередной период их действия.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http://gorinfor.mos.ru/presscenter/news/detail/7170480.html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70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70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2025-06-12T03:09:52Z</dcterms:created>
  <dcterms:modified xsi:type="dcterms:W3CDTF">2025-06-12T03:09:52Z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