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a0bc89219bf4104a2c22eb982117c4ae3cd0c"/>
    <w:p>
      <w:pPr>
        <w:pStyle w:val="Heading3"/>
      </w:pPr>
      <w:r>
        <w:t xml:space="preserve">«ЛАЙСА» продолжает расширять в Москве цифровую сеть рекламоносителей</w:t>
      </w:r>
    </w:p>
    <w:p>
      <w:pPr>
        <w:pStyle w:val="FirstParagraph"/>
      </w:pPr>
      <w:r>
        <w:t xml:space="preserve">27.02.2018</w:t>
      </w:r>
    </w:p>
    <w:p>
      <w:pPr>
        <w:pStyle w:val="BodyText"/>
      </w:pPr>
      <w:r>
        <w:t xml:space="preserve">С начала февраля в столице запущены четыре новых поверхности: на Ленинградском проспекте, Алтуфьевском шоссе, проспекте Мира и Каширском шоссе. Данный этап проекта оператор планирует завершить к концу февраля 2018 г., увеличив количество цифровых сторон до 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http://gorinfor.mos.ru/presscenter/news/detail/7170478.html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2023-09-20T15:31:49Z</dcterms:created>
  <dcterms:modified xsi:type="dcterms:W3CDTF">2023-09-20T15:31:49Z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