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f6426fe52384d48c128d07061c2e9581c53c5"/>
    <w:p>
      <w:pPr>
        <w:pStyle w:val="Heading3"/>
      </w:pPr>
      <w:r>
        <w:t xml:space="preserve">Крупнейшие российские outdoor-операторы задумались об объединении</w:t>
      </w:r>
    </w:p>
    <w:p>
      <w:pPr>
        <w:pStyle w:val="FirstParagraph"/>
      </w:pPr>
      <w:r>
        <w:t xml:space="preserve">27.02.2018</w:t>
      </w:r>
    </w:p>
    <w:p>
      <w:pPr>
        <w:pStyle w:val="BodyText"/>
      </w:pPr>
      <w:r>
        <w:t xml:space="preserve">Компании обсуждают слияние, поскольку за счет сокращения расходов объединенная компания улучшит свое финансовое состояние, утверждают источники РБК.</w:t>
      </w:r>
      <w:r>
        <w:t xml:space="preserve"> </w:t>
      </w:r>
      <w:r>
        <w:t xml:space="preserve">Из последней доступной отчетности головной структуры Russ Outdoor следует, что в 2016 году выручка всей группы по МСФО составила $134,3 млн (почти 9 млрд руб. по среднему курсу ЦБ за тот год), операционная прибыль – $7,9 млн (531 млн руб.), чистый убыток – $17,4 млн (1,2 млрд руб.). Обязательства на конец 2016 г. равнялись $187,5 млн (12,5 млрд руб.). Gallery последний раз свои финансовые показатели по МСФО раскрывала в 2014 году.</w:t>
      </w:r>
      <w:r>
        <w:t xml:space="preserve"> </w:t>
      </w:r>
      <w:r>
        <w:t xml:space="preserve">Возможность объединить бизнесы Russ Outdoor и Gallery рассматривали еще в 2008–2009 годах. Тогда стороны так и не смогли договориться.</w:t>
      </w:r>
      <w:r>
        <w:t xml:space="preserve"> </w:t>
      </w:r>
      <w:r>
        <w:t xml:space="preserve">Источник: РБК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http://gorinfor.mos.ru/presscenter/news/detail/7170475.html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1704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1704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2024-12-08T23:31:58Z</dcterms:created>
  <dcterms:modified xsi:type="dcterms:W3CDTF">2024-12-08T23:31:58Z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