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уд-да-дело"/>
    <w:p>
      <w:pPr>
        <w:pStyle w:val="Heading3"/>
      </w:pPr>
      <w:r>
        <w:t xml:space="preserve">Суд да дело</w:t>
      </w:r>
    </w:p>
    <w:p>
      <w:pPr>
        <w:pStyle w:val="FirstParagraph"/>
      </w:pPr>
      <w:r>
        <w:t xml:space="preserve">16.01.2018</w:t>
      </w:r>
    </w:p>
    <w:p>
      <w:pPr>
        <w:pStyle w:val="BodyText"/>
      </w:pPr>
      <w:r>
        <w:t xml:space="preserve">Суд посчитал, что истец не представил доказательств возврата ответчику обеспечительных платежей. Как отметил суд, департаментом не представлено доказательств того, что ответчиком не исполнены обязательства по демонтажу рекламных конструкций.</w:t>
      </w:r>
      <w:r>
        <w:t xml:space="preserve"> </w:t>
      </w:r>
      <w:r>
        <w:t xml:space="preserve">На прошлой неделе стало известно, что департамент 23 января может расторгнуть контракт с оператором на размещение рекламы на городских придорожных щитах, если компания не погасит задолженность в 1,4 млрд рублей до 16 января. Размер платежей за очередной этап (четвертый год) действия 5 договоров от 2014 года составил 1,4 млрд руб.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http://gorinfor.mos.ru/presscenter/news/detail/7088239.html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0882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0882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2024-06-15T01:29:51Z</dcterms:created>
  <dcterms:modified xsi:type="dcterms:W3CDTF">2024-06-15T01:29:51Z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