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2476330c5768d4d2b802a5a8b8d7cf081c28"/>
    <w:p>
      <w:pPr>
        <w:pStyle w:val="Heading3"/>
      </w:pPr>
      <w:r>
        <w:t xml:space="preserve">В два раза увеличилось число цифровых рекламоносителей в Москве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t xml:space="preserve">Также впервые с этого года цифровые панели начали устанавливать на остановках общественного транспорта. В рамках эксперимента такую панель разместили на остановке на ул. Покровка.</w:t>
      </w:r>
      <w:r>
        <w:t xml:space="preserve"> </w:t>
      </w:r>
      <w:r>
        <w:t xml:space="preserve">«Развитие цифровой наружной рекламы диктует сам рынок, а также все большее распространение визуальных технологий, которые позволяют по-новому, более красочно и технологично доносить информацию до потребителей», – говорят представители пресс-службы столичного департамента СМИ и рекламы.</w:t>
      </w:r>
      <w:r>
        <w:t xml:space="preserve"> </w:t>
      </w:r>
      <w:r>
        <w:t xml:space="preserve">Более 75% всех экранов 6х3 м располагается вдоль Третьего транспортного кольца и вылетных магистралей. Кроме того, в городе установлено 80 суперсайтов (5х15 м). Цифровые экраны появились на фасадах зданий, например – на домах-книжках на Новом Арбате. Размер конструкций составляет 90х7 и 47х7 м.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http://gorinfor.mos.ru/presscenter/news/detail/7075372.html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75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075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2023-09-20T15:37:20Z</dcterms:created>
  <dcterms:modified xsi:type="dcterms:W3CDTF">2023-09-20T15:37:20Z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