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828879a540a3525f633685a97b86f6da9e4a9"/>
    <w:p>
      <w:pPr>
        <w:pStyle w:val="Heading3"/>
      </w:pPr>
      <w:r>
        <w:t xml:space="preserve">Суд не поддержал требование департамента СМИ и рекламы Москвы о взыскании с ООО «ТРК» 210,9 млн рублей</w:t>
      </w:r>
    </w:p>
    <w:p>
      <w:pPr>
        <w:pStyle w:val="FirstParagraph"/>
      </w:pPr>
      <w:r>
        <w:t xml:space="preserve">27.11.2017</w:t>
      </w:r>
    </w:p>
    <w:p>
      <w:pPr>
        <w:pStyle w:val="BodyText"/>
      </w:pPr>
      <w:r>
        <w:t xml:space="preserve">Столичный департамент в январе уведомил ООО «ТРК» о расторжении договоров на право установки и эксплуатации рекламных конструкций на имуществе города Москвы. Уведомление за подписью руководителя департамента Ивана Шубина было направлено компании в связи с невыполнением с её стороны, предусмотренных договорами обязательств по своевременной оплате за право эксплуатации конструкций.</w:t>
      </w:r>
      <w:r>
        <w:t xml:space="preserve"> </w:t>
      </w:r>
      <w:r>
        <w:t xml:space="preserve">Согласно условиям договоров с городской администрацией, ООО «ТРК» обязывалось ежегодно производить оплату на основании выдаваемых департаментом расчётов и в четко установленные сроки. Срок исполнения обязательств по оплате за очередной период действия договоров у компании наступил в декабре 2016 г., отметил департамент. Всего по договорам, заключенным в 2013 г., оператор наружной рекламы был должен заплатить 212 млн руб., по договорам 2014 г. – 1,7 млрд руб. «Отказ ООО «ТРК» от оплаты договоров ведёт к их расторжению по инициативе рекламораспространителя», – сообщил ранее департамент.</w:t>
      </w:r>
      <w:r>
        <w:t xml:space="preserve"> </w:t>
      </w:r>
      <w:r>
        <w:t xml:space="preserve">Девятый арбитражный апелляционный суд 25 августа отменил определение столичного арбитража от 10 июля о передаче этого спора по подсудности в подмосковный суд.</w:t>
      </w:r>
      <w:r>
        <w:t xml:space="preserve"> </w:t>
      </w:r>
      <w:r>
        <w:t xml:space="preserve">Условиями договора регламентирован порядок установки и эксплуатации рекламных конструкций в Москве, установлены обязательства сторон, предусматривавшие их исполнение исключительно в Москве, отметила апелляция. Поэтому выводы суда первой инстанции о том, что спорные договоры не содержат сведений о месте исполнения, не соответствуют действительности и требованиям действующего законодательства.</w:t>
      </w:r>
      <w:r>
        <w:t xml:space="preserve"> </w:t>
      </w:r>
      <w:r>
        <w:t xml:space="preserve">При таких обстоятельствах оснований для передачи дела на рассмотрение другого арбитражного суда не имелось, в связи с чем определение по настоящему делу является незаконным и подлежит отмене, говорится в постановлении апелляции.</w:t>
      </w:r>
      <w:r>
        <w:t xml:space="preserve"> </w:t>
      </w:r>
      <w:r>
        <w:t xml:space="preserve">Источник: РАПСИ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http://gorinfor.mos.ru/presscenter/news/detail/6997945.html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6997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6997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2024-07-02T20:54:10Z</dcterms:created>
  <dcterms:modified xsi:type="dcterms:W3CDTF">2024-07-02T20:54:10Z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