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d20698c453cfaf9dd2bc96c2fb0d1896bde327"/>
    <w:p>
      <w:pPr>
        <w:pStyle w:val="Heading3"/>
      </w:pPr>
      <w:r>
        <w:t xml:space="preserve">«ЛАЙСА» и АО «ФПК» согласовали новый регламент взаимодействия по размещению рекламы</w:t>
      </w:r>
    </w:p>
    <w:p>
      <w:pPr>
        <w:pStyle w:val="FirstParagraph"/>
      </w:pPr>
      <w:r>
        <w:t xml:space="preserve">20.11.2017</w:t>
      </w:r>
    </w:p>
    <w:p>
      <w:pPr>
        <w:pStyle w:val="BodyText"/>
      </w:pPr>
      <w:r>
        <w:t xml:space="preserve">Напомним, АО «ФПК» управляет всем подвижным составом, осуществляющим перевозки поездами дальнего сообщения.</w:t>
      </w:r>
      <w:r>
        <w:t xml:space="preserve"> </w:t>
      </w:r>
      <w:r>
        <w:t xml:space="preserve">Исключение составляют поезда типов «Сапсан», «Аллегро», «Ласточка», – которыми ОАО «РЖД» управляет самостоятельно и размещение рекламы в которых «ЛАЙСА» осуществляет по долгосрочному договору с ОАО «РЖД» сроком до 31 декабря 2021 г.</w:t>
      </w:r>
      <w:r>
        <w:t xml:space="preserve"> </w:t>
      </w:r>
      <w:r>
        <w:t xml:space="preserve">Правовой статус подвижного состава АО «ФПК» можно разделить на две группы: подвижной состав ОАО «РЖД», переданный в качестве вклада в уставный капитал (более 90% парка) и собственный подвижной состав АО «ФПК». Право размещения рекламы на последнем стало предметом недавно проведенного АО «ФПК» аукциона. Что же касается первой группы (составляющей основной массив парка подвижного состава), то права ЛАЙСа по Генеральному договору распространяются на него в полном объеме.</w:t>
      </w:r>
      <w:r>
        <w:t xml:space="preserve"> </w:t>
      </w:r>
      <w:r>
        <w:t xml:space="preserve">«Новый регламент взаимодействия между АО «ЛАЙСА» и АО «ФПК» позволит увеличить объем отчислений за осуществление рекламной деятельности, повысить качество реализуемого на рынок продукта, решить те объективные сложности, которые возникали ранее в связи с федеральным масштабом железнодорожных перевозок и большой протяженностью железнодорожных маршрутов», – сообщили в «ЛАЙСЕ».</w:t>
      </w:r>
      <w:r>
        <w:t xml:space="preserve"> </w:t>
      </w:r>
      <w:r>
        <w:t xml:space="preserve">Источник: Outdoor.Ru</w:t>
      </w:r>
    </w:p>
    <w:p>
      <w:pPr>
        <w:pStyle w:val="BodyText"/>
      </w:pPr>
      <w:r>
        <w:br/>
      </w:r>
    </w:p>
    <w:p>
      <w:pPr>
        <w:pStyle w:val="BodyText"/>
      </w:pPr>
      <w:r>
        <w:t xml:space="preserve">Адрес страницы:</w:t>
      </w:r>
      <w:r>
        <w:t xml:space="preserve"> </w:t>
      </w:r>
      <w:hyperlink r:id="rId20">
        <w:r>
          <w:rPr>
            <w:rStyle w:val="Hyperlink"/>
          </w:rPr>
          <w:t xml:space="preserve">http://gorinfor.mos.ru/presscenter/news/detail/6984534.html</w:t>
        </w:r>
      </w:hyperlink>
    </w:p>
    <w:p>
      <w:pPr>
        <w:pStyle w:val="BodyText"/>
      </w:pPr>
      <w:hyperlink r:id="rId21">
        <w:r>
          <w:rPr>
            <w:rStyle w:val="Hyperlink"/>
          </w:rPr>
          <w:t xml:space="preserve">ГБУ города Москвы «Городская реклама и информация»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rinfor.mos.ru" TargetMode="External" /><Relationship Type="http://schemas.openxmlformats.org/officeDocument/2006/relationships/hyperlink" Id="rId20" Target="http://gorinfor.mos.ru/presscenter/news/detail/6984534.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rinfor.mos.ru" TargetMode="External" /><Relationship Type="http://schemas.openxmlformats.org/officeDocument/2006/relationships/hyperlink" Id="rId20" Target="http://gorinfor.mos.ru/presscenter/news/detail/698453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2025-06-25T19:38:16Z</dcterms:created>
  <dcterms:modified xsi:type="dcterms:W3CDTF">2025-06-25T19:38:16Z</dcterms:modified>
</cp:coreProperties>
</file>

<file path=docProps/custom.xml><?xml version="1.0" encoding="utf-8"?>
<Properties xmlns="http://schemas.openxmlformats.org/officeDocument/2006/custom-properties" xmlns:vt="http://schemas.openxmlformats.org/officeDocument/2006/docPropsVTypes"/>
</file>