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47de98e4bcfa1d3880688c1281da419a85fb9"/>
    <w:p>
      <w:pPr>
        <w:pStyle w:val="Heading3"/>
      </w:pPr>
      <w:r>
        <w:t xml:space="preserve">ТМG приглашает москвичей полюбоваться динозаврами</w:t>
      </w:r>
    </w:p>
    <w:p>
      <w:pPr>
        <w:pStyle w:val="FirstParagraph"/>
      </w:pPr>
      <w:r>
        <w:t xml:space="preserve">14.08.2017</w:t>
      </w:r>
    </w:p>
    <w:p>
      <w:pPr>
        <w:pStyle w:val="BodyText"/>
      </w:pPr>
      <w:r>
        <w:t xml:space="preserve">По словам PR-директора первого семейного парка «Сказка» Натальи Романовой, о таком ресурсе, как реклама на транспорте, они впервые подумали после того, как увидели постеры на одном из автобусов.</w:t>
      </w:r>
      <w:r>
        <w:t xml:space="preserve"> </w:t>
      </w:r>
      <w:r>
        <w:t xml:space="preserve">В кампании задействовано 100 автобусах средней вместимости, курсирующих в районах вблизи парка, и 150 флаеров внутри ТС. Фишкой проекта стал настоящий промо-автобус, полностью брендированный как снаружи, так и изнутри. Макет создан дизайнерами TMG в тесном взаимодействии с клиентом.</w:t>
      </w:r>
      <w:r>
        <w:t xml:space="preserve"> </w:t>
      </w:r>
      <w:r>
        <w:t xml:space="preserve">«Жители западных районов все больше узнают о нашем объекте – это видно по проявляемому интересу и поступающим звонкам с вопросами о самом большом в Москве Динопарке под открытым небом»,- комментирует Наталья Романова.</w:t>
      </w:r>
      <w:r>
        <w:t xml:space="preserve"> </w:t>
      </w:r>
      <w:r>
        <w:t xml:space="preserve">Помимо транспорта, рекламная стратегия по продвижению нового центра развлечений включает социальные сети, «Яндекс Директ», публикации на тематических порталах сейчас в процессе настройки.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http://gorinfor.mos.ru/presscenter/news/detail/6690355.html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690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690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2023-09-20T15:45:04Z</dcterms:created>
  <dcterms:modified xsi:type="dcterms:W3CDTF">2023-09-20T15:45:04Z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