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40b5c47d7f3a4e7425c25f9a7d83d2fa1527a"/>
    <w:p>
      <w:pPr>
        <w:pStyle w:val="Heading3"/>
      </w:pPr>
      <w:r>
        <w:t xml:space="preserve">До конца года число digital-билбордов в Москве увеличится до 200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Новые цифровые билборды в этом году появились, в том числе на Кутузовском пр., ул. Вавилова, Нижней Масловке, пр. Маршала Жукова, а также вдоль других крупных дорог.</w:t>
      </w:r>
    </w:p>
    <w:p>
      <w:pPr>
        <w:pStyle w:val="BodyText"/>
      </w:pPr>
      <w:r>
        <w:t xml:space="preserve">Помимо стандартных билбордов, цифровыми становятся и суперсайты.</w:t>
      </w:r>
    </w:p>
    <w:p>
      <w:pPr>
        <w:pStyle w:val="BodyText"/>
      </w:pPr>
      <w:r>
        <w:t xml:space="preserve">С помощью части цифровых билбордов горожан и гостей столицы поздравляют с праздниками. Например, в честь Дня семьи, любви и верности транслировали ролики с белыми ромашками. Такие открытки создают праздничное настроение горожанам.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http://gorinfor.mos.ru/presscenter/news/detail/6537296.html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296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296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2023-09-20T15:46:06Z</dcterms:created>
  <dcterms:modified xsi:type="dcterms:W3CDTF">2023-09-20T15:46:06Z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