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c8f5e09c9e5d0b570b3ea40148268b6916f9fe"/>
    <w:p>
      <w:pPr>
        <w:pStyle w:val="Heading3"/>
      </w:pPr>
      <w:r>
        <w:t xml:space="preserve">Москва: трансформация рекламного ландшафта 2000-2017 гг.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В начале нулевых годов отличительной чертой московского outdoor-рынка являлся быстрый рост количества рекламоносителей. К 2007 г. их число достигло 25 тыс. конструкций (стандартные форматы, график «Москва: количество рекламных конструкций, 2000-2017 гг.*, по состоянию на начало года»). И к этому моменту стало ясно, столица перенасыщена рекламой. Она мешала визуальному восприятию города. И уже при прежнем мэре – Юрии Лужкове – начались первые попытки ограничить её количество, вводился мораторий на размещение щитов, сокращалось число незаконных конструкций, в том числе, расположенных в центрально части, принимались разные концепции, освобождались зоны ЮНЕСКО и т. д. Но, в целом, процесс шёл достаточно вяло.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С приходом нового градоначальника – Сергея Собянина – ситуация резко изменилась. В 2011 г. начались значительные и быстрые сокращения конструкций, приняты новые правила размещения рекламы, которые, в частности, жёстко регулировали её дислокацию по зональному принципу. С улиц исчез целый ряд форматов: перетяжки, строительные сетки, брандмауэры, плоскостная реклама на крышах зданий. По мнению столичных властей, то, что было незаконно и не приносило денег в бюджет города, должно было уйти. И оно ушло.</w:t>
      </w:r>
    </w:p>
    <w:p>
      <w:pPr>
        <w:pStyle w:val="BodyText"/>
      </w:pPr>
      <w:r>
        <w:t xml:space="preserve">Этот процесс ускорился после аукционов 2013-2014 гг.</w:t>
      </w:r>
    </w:p>
    <w:p>
      <w:pPr>
        <w:pStyle w:val="BodyText"/>
      </w:pPr>
      <w:r>
        <w:t xml:space="preserve">Сегодня можно констатировать, процесс реформирования столичной outdoor-индустрии стабилизировался, общее количество носителей в Москве стало меньше, чем в начале века.</w:t>
      </w:r>
    </w:p>
    <w:p>
      <w:pPr>
        <w:pStyle w:val="BodyText"/>
      </w:pPr>
      <w:r>
        <w:t xml:space="preserve">Аналогичная картина складывалась и в показателях динамики площадей (график «Москва: площадь рекламных поверхностей, 2000-2017 гг., по состоянию на начало года»). Здесь максимум был достигнут в 2011 г. Затем произошло их снижение, потом опять некоторый рост. Всё это происходило и происходит на фоне изменений характеристик рекламоносителей. Если до 2011 г. наблюдался постепенное увеличение средней площади рекламоносителя, то в последующие годы – сокращение. Сейчас же маятник снова качнулся в противоположную сторону.</w:t>
      </w:r>
    </w:p>
    <w:p>
      <w:pPr>
        <w:pStyle w:val="BodyText"/>
      </w:pPr>
      <w:r>
        <w:t xml:space="preserve">Если посмотреть на правую часть графика «Изменение характеристик рекламоносителей», то увидим довольно выразительный показатель – резкое увеличение количества поверхностей, приходящихся на одну конструкцию. Этот факт вполне объясним: когда оператор платит за рекламное место, возможность размещать большее число поверхностей на одном носителе – прямой ответ на вызов экономических реалий. Он позволяет добиться ведения рентабельного бизнеса в условиях колоссальных расходов, в том числе в виде платежей городу.</w:t>
      </w:r>
    </w:p>
    <w:p>
      <w:pPr>
        <w:pStyle w:val="BodyText"/>
      </w:pPr>
      <w:r>
        <w:t xml:space="preserve">Если говорить о дне сегодняшнем, то количество инвентаря в Москве в целом стабилизировалось. Всё это привело к изменению структуры основных форматов. Ещё пять лет назад большую часть поверхностей составляли щиты 6х3 м, сейчас их доля сократилась до 40%. Более половины инвентаря приходится на уличную мебель. Происходит некоторый рост доли крупного формата...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Outdoor.Ru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http://gorinfor.mos.ru/presscenter/news/detail/6537264.html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6537264.html" TargetMode="External" /><Relationship Type="http://schemas.openxmlformats.org/officeDocument/2006/relationships/hyperlink" Id="rId21" Target="http://outdoo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rinfor.mos.ru" TargetMode="External" /><Relationship Type="http://schemas.openxmlformats.org/officeDocument/2006/relationships/hyperlink" Id="rId22" Target="http://gorinfor.mos.ru/presscenter/news/detail/6537264.html" TargetMode="External" /><Relationship Type="http://schemas.openxmlformats.org/officeDocument/2006/relationships/hyperlink" Id="rId21" Target="http://outdoo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2024-06-25T07:19:01Z</dcterms:created>
  <dcterms:modified xsi:type="dcterms:W3CDTF">2024-06-25T07:19:01Z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