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d46cf539a32db5d9e2a98f76059a1042c06df"/>
    <w:p>
      <w:pPr>
        <w:pStyle w:val="Heading3"/>
      </w:pPr>
      <w:r>
        <w:t xml:space="preserve">Каннские ролики покажут на медиафасаде в центре Москвы</w:t>
      </w:r>
    </w:p>
    <w:p>
      <w:pPr>
        <w:pStyle w:val="FirstParagraph"/>
      </w:pPr>
      <w:r>
        <w:t xml:space="preserve">08.06.2017</w:t>
      </w:r>
    </w:p>
    <w:p>
      <w:pPr>
        <w:pStyle w:val="BodyText"/>
      </w:pPr>
      <w:r>
        <w:t xml:space="preserve">Ролики будут транслироваться каждые 2,5 часа на Новом Арбате. Для этого выбран один из самых масштабных экранов в Москве - его высота сравнима с двухэтажным домом, а длина достигает 100 м.</w:t>
      </w:r>
      <w:r>
        <w:t xml:space="preserve"> </w:t>
      </w:r>
      <w:r>
        <w:t xml:space="preserve">Акция проходит в преддверии международного фестиваля рекламы Cannes Lions 2017, который начнется 17 июня во Франции. За несколько дней до этого, 12 июня в Royal Bar, состоится московская презентация фестиваля – Cannes Lions Moscow Festival. Гости фестиваля первыми увидят ролики, которые имеют наибольшие шансы на победу в этом году (по версии Leo Burnett) и смогут выиграть аккредитацию на Cannes Lions 2018. Также гости Cannes Lions Moscow Festival насладятся показом всех Гран-при фестиваля с 1954 года.</w:t>
      </w:r>
      <w:r>
        <w:t xml:space="preserve"> </w:t>
      </w:r>
      <w:r>
        <w:t xml:space="preserve">Организаторами акции выступает АКАР и официальный представитель IFC Cannes Lions в России Владимир Евстафьев, при поддержке коммуникационной группы LBL.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http://gorinfor.mos.ru/presscenter/news/detail/6147737.html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6147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6147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2023-09-20T15:47:40Z</dcterms:created>
  <dcterms:modified xsi:type="dcterms:W3CDTF">2023-09-20T15:47:40Z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