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69f66cc89aaaeb37b7d91ea01679199352c52"/>
    <w:p>
      <w:pPr>
        <w:pStyle w:val="Heading3"/>
      </w:pPr>
      <w:r>
        <w:t xml:space="preserve">Столичным предпринимателям расскажут о правилах размещения вывесок за пределами ТТК</w:t>
      </w:r>
    </w:p>
    <w:p>
      <w:pPr>
        <w:pStyle w:val="FirstParagraph"/>
      </w:pPr>
      <w:r>
        <w:t xml:space="preserve">03.05.2017</w:t>
      </w:r>
    </w:p>
    <w:p>
      <w:pPr>
        <w:pStyle w:val="BodyText"/>
      </w:pPr>
      <w:r>
        <w:t xml:space="preserve">Архитектурно-художественные концепции внешнего облика улиц, магистралей и территорий города, направленные на упорядочивание информационных конструкций (вывесок), предусмотрены Постановлением Правительства Москвы №902-ПП от 25 декабря 2013 г.</w:t>
      </w:r>
      <w:r>
        <w:t xml:space="preserve"> </w:t>
      </w:r>
      <w:r>
        <w:t xml:space="preserve">С предварительными документами можно ознакомиться на сайте Москомархитектуры.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http://gorinfor.mos.ru/presscenter/news/detail/5820354.html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2025-07-24T06:37:32Z</dcterms:created>
  <dcterms:modified xsi:type="dcterms:W3CDTF">2025-07-24T06:37:32Z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