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b736521ffdcea265e41774f90398f6c097a7f"/>
    <w:p>
      <w:pPr>
        <w:pStyle w:val="Heading3"/>
      </w:pPr>
      <w:r>
        <w:t xml:space="preserve">Правительство решило упростить выдачу разрешений на размещение наружной рекламы</w:t>
      </w:r>
    </w:p>
    <w:p>
      <w:pPr>
        <w:pStyle w:val="FirstParagraph"/>
      </w:pPr>
      <w:r>
        <w:t xml:space="preserve">03.05.2017</w:t>
      </w:r>
    </w:p>
    <w:p>
      <w:pPr>
        <w:pStyle w:val="BodyText"/>
      </w:pPr>
      <w:r>
        <w:t xml:space="preserve">Ранее документ был рассмотрен и одобрен на заседании комиссии правительства по законопроектной деятельности. По мнению чиновников, его реализация позволит оптимизировать и упростить процесс предоставления данной услуги.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http://gorinfor.mos.ru/presscenter/news/detail/5820347.html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5820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5820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2025-06-14T11:43:28Z</dcterms:created>
  <dcterms:modified xsi:type="dcterms:W3CDTF">2025-06-14T11:43:28Z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