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bcf0d443bb9044b0d96bdd9205fa85b35dd52"/>
    <w:p>
      <w:pPr>
        <w:pStyle w:val="Heading3"/>
      </w:pPr>
      <w:r>
        <w:t xml:space="preserve">Суд отказал ТРК в иске к столичному департаменту СМИ и рекламы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Напомним, по итогам торгов в 2013-2014 гг. ТРК получила возможность установить в Москве около 1,5 тыс. рекламоносителей. В январе 2017 г. департамент СМИ и рекламы Москвы расторг с ТРК контракты на право установки и эксплуатации рекламных конструкций.</w:t>
      </w:r>
    </w:p>
    <w:p>
      <w:pPr>
        <w:pStyle w:val="BodyText"/>
      </w:pPr>
      <w:r>
        <w:t xml:space="preserve">«Согласно условиям договоров с городской администрацией, ООО «ТРК» обязывалось ежегодно производить оплату на основании выдаваемых департаментом расчётов и в четко установленные сроки. Срок исполнения обязательств по оплате за очередной период действия договоров у компании наступил в декабре 2016 г. Всего по договорам, заключенным в 2013 г., оператор был должен заплатить 212 млн руб., по договорам 2014 г. – 1,7 млрд. руб. Таким образом, отказ ООО «ТРК» от оплаты договоров ведёт к их расторжению по инициативе рекламораспространителя», – говорилось в сообщении ведомства.</w:t>
      </w:r>
    </w:p>
    <w:p>
      <w:pPr>
        <w:pStyle w:val="BodyText"/>
      </w:pPr>
      <w:r>
        <w:t xml:space="preserve">Позже стало известно, что власти Москве планировали демонтировать конструкции ТРК.</w:t>
      </w:r>
    </w:p>
    <w:p>
      <w:pPr>
        <w:pStyle w:val="BodyText"/>
      </w:pPr>
      <w:r>
        <w:t xml:space="preserve">Однако уже в феврале стало известно, что ООО «ТРК» возобновит работу на рекламном рынке Москвы, поскольку смогло частично восстановить договоры с мэрией. По словам представителей департамента, 7 февраля компания выплатила более 1,33 млрд руб. по договору аренды, включая неустойку.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http://gorinfor.mos.ru/presscenter/news/detail/4983175.html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983175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983175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2023-09-20T15:55:20Z</dcterms:created>
  <dcterms:modified xsi:type="dcterms:W3CDTF">2023-09-20T15:55:20Z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