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0df2d9068832869dfc47e99944b90b29eb384"/>
    <w:p>
      <w:pPr>
        <w:pStyle w:val="Heading3"/>
      </w:pPr>
      <w:r>
        <w:t xml:space="preserve">Количество рекламного инвентаря в Москве может сократиться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  <w:r>
        <w:t xml:space="preserve">На прошлой неделе департамент расторг контракты на право установки и эксплуатации рекламных конструкций с ООО «ТРК». Соответствующее уведомление за подписью руководителя департамента Ивана Шубина направлено оператору 19 января.</w:t>
      </w:r>
    </w:p>
    <w:p>
      <w:pPr>
        <w:pStyle w:val="BodyText"/>
      </w:pPr>
      <w:r>
        <w:t xml:space="preserve">«Согласно условиям договоров с городской администрацией, ООО «ТРК» обязывалось ежегодно производить оплату на основании выдаваемых департаментом расчётов и в четко установленные сроки. Срок исполнения обязательств по оплате за очередной период действия договоров у компании наступил в декабре 2016 г. Всего по договорам, заключенным в 2013 г., оператор наружной рекламы был должен заплатить 212 млн руб., по договорам 2014 г. – 1,7 млрд. руб. Таким образом, отказ ООО «ТРК» от оплаты договоров ведёт к их расторжению по инициативе рекламораспространителя», – говорится в сообщении ведомства.</w:t>
      </w:r>
    </w:p>
    <w:p>
      <w:pPr>
        <w:pStyle w:val="BodyText"/>
      </w:pP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 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 по итогам аукционов, состоявшихся в 2013-2014 гг. По итогам аукционов ТРК получила возможность установить в Москве более 1,5 тыс. рекламоносителей.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http://gorinfor.mos.ru/presscenter/news/detail/4754009.html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754009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754009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2025-07-01T16:53:02Z</dcterms:created>
  <dcterms:modified xsi:type="dcterms:W3CDTF">2025-07-01T16:53:02Z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