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a9c3493675903e593166c5be5b1ce7bba4a48"/>
    <w:p>
      <w:pPr>
        <w:pStyle w:val="Heading3"/>
      </w:pPr>
      <w:r>
        <w:t xml:space="preserve">ТРК не внесла платёж за право аренды рекламных мест в Москве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t xml:space="preserve">«Срок исполнения обязательств по этим договорам наступил в декабре 2016 г., однако информация о платежах до сих пор отсутствует. Договоры заключены в соответствии с типовой формой, предусмотренной законодательством о проведении торгов, на основании прописанных в них условий и будут предприниматься дальнейшие шаги. При этом все остальные рекламораспространители своевременно исполнили свои обязательства по договорам. Общая сумма обязательств за очередной период на право размещения рекламы составила 5,29 млрд руб.»,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по итогам аукционов, состоявшихся в 2013-2014 гг., ТРК получила возможность установить в Москве более 1,5 тыс. рекламоносителей (на торгах в 2013 г. компания получила право аренды 1,3 тыс. конструкций).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АГН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http://gorinfor.mos.ru/presscenter/news/detail/4665576.html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665576.html" TargetMode="External" /><Relationship Type="http://schemas.openxmlformats.org/officeDocument/2006/relationships/hyperlink" Id="rId20" Target="http://www.mskagency.ru/materials/26267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665576.html" TargetMode="External" /><Relationship Type="http://schemas.openxmlformats.org/officeDocument/2006/relationships/hyperlink" Id="rId20" Target="http://www.mskagency.ru/materials/26267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2024-04-10T17:01:45Z</dcterms:created>
  <dcterms:modified xsi:type="dcterms:W3CDTF">2024-04-10T17:01:45Z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