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58b3f7ca9f400531b43a8a461e32279475ef930"/>
    <w:p>
      <w:pPr>
        <w:pStyle w:val="Heading3"/>
      </w:pPr>
      <w:r>
        <w:t xml:space="preserve">Количество цифровой наружки в Москве увеличится</w:t>
      </w:r>
    </w:p>
    <w:p>
      <w:pPr>
        <w:pStyle w:val="FirstParagraph"/>
      </w:pPr>
      <w:r>
        <w:t xml:space="preserve">09.01.2017</w:t>
      </w:r>
    </w:p>
    <w:p>
      <w:pPr>
        <w:pStyle w:val="BodyText"/>
      </w:pPr>
      <w:r>
        <w:t xml:space="preserve">«Мы знаем о таких планах операторов. Прирост цифровой рекламы будет зависеть от общей конъюнктуры рынка, но это технология, которая становится все более востребованной», – отметил Иван Шубин.</w:t>
      </w:r>
    </w:p>
    <w:p>
      <w:pPr>
        <w:pStyle w:val="BodyText"/>
      </w:pPr>
      <w:r>
        <w:t xml:space="preserve">По его словам, перед операторами наружной рекламы стоят «серьезные инвестиционные задачи».</w:t>
      </w:r>
    </w:p>
    <w:p>
      <w:pPr>
        <w:pStyle w:val="BodyText"/>
      </w:pPr>
      <w:r>
        <w:t xml:space="preserve">«Все компании, работающие в рамках абонентских договоров, своевременно выполняют свои обязательства перед городом. На сегодняшний день в соответствии с условиями договоров операторы перевели в бюджет порядка 3,5 млрд руб. Но эта цифра еще может увеличиться - с одним из рекламораспространителей сейчас идет судебный процесс по поводу размеров платежей», – сказал глава департамента, отметив, что последние годы стали «серьезным испытанием для рекламного рынка, но практически все компании с честью прошли его для себя».</w:t>
      </w:r>
    </w:p>
    <w:p>
      <w:pPr>
        <w:pStyle w:val="BodyText"/>
      </w:pPr>
      <w:r>
        <w:t xml:space="preserve">Он также напомнил о заключении в этом году мирового соглашения с компанией «Олимп», которая не смогла вовремя произвести расчеты с городом. Со следующего года платежи оператора увеличатся почти на 1 млрд руб.</w:t>
      </w:r>
    </w:p>
    <w:p>
      <w:pPr>
        <w:pStyle w:val="BodyText"/>
      </w:pPr>
      <w:r>
        <w:t xml:space="preserve">«Речь идет о долгосрочных контрактах, поэтому и город, и участники рынка заинтересованы в конструктивном сотрудничестве», – заключил чиновник.</w:t>
      </w:r>
    </w:p>
    <w:p>
      <w:pPr>
        <w:pStyle w:val="BodyText"/>
      </w:pPr>
      <w:r>
        <w:br/>
      </w:r>
      <w:r>
        <w:t xml:space="preserve">Источник:</w:t>
      </w:r>
      <w:r>
        <w:t xml:space="preserve"> </w:t>
      </w:r>
      <w:hyperlink r:id="rId20">
        <w:r>
          <w:rPr>
            <w:rStyle w:val="Hyperlink"/>
          </w:rPr>
          <w:t xml:space="preserve">АГН «Москва»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http://gorinfor.mos.ru/presscenter/news/detail/4629726.html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ГБУ города Москвы «Городская реклама и информация»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gorinfor.mos.ru" TargetMode="External" /><Relationship Type="http://schemas.openxmlformats.org/officeDocument/2006/relationships/hyperlink" Id="rId21" Target="http://gorinfor.mos.ru/presscenter/news/detail/4629726.html" TargetMode="External" /><Relationship Type="http://schemas.openxmlformats.org/officeDocument/2006/relationships/hyperlink" Id="rId20" Target="http://www.mskagency.ru/materials/26241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gorinfor.mos.ru" TargetMode="External" /><Relationship Type="http://schemas.openxmlformats.org/officeDocument/2006/relationships/hyperlink" Id="rId21" Target="http://gorinfor.mos.ru/presscenter/news/detail/4629726.html" TargetMode="External" /><Relationship Type="http://schemas.openxmlformats.org/officeDocument/2006/relationships/hyperlink" Id="rId20" Target="http://www.mskagency.ru/materials/26241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2023-09-20T16:00:08Z</dcterms:created>
  <dcterms:modified xsi:type="dcterms:W3CDTF">2023-09-20T16:00:08Z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