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85ecda17a09024cf8377dc4510a35b9c37a6d"/>
    <w:p>
      <w:pPr>
        <w:pStyle w:val="Heading3"/>
      </w:pPr>
      <w:r>
        <w:t xml:space="preserve">В Москве за два года демонтировано 52 тыс. вывесок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Согласно данным Объединения административно-технических инспекций, только 34% владельцев предприятий, самостоятельно демонтируют вывески, не соответствующие нормам размещения. Остальные 66% власти города вынуждены убирать в принудительном порядке</w:t>
      </w:r>
    </w:p>
    <w:p>
      <w:pPr>
        <w:pStyle w:val="BodyText"/>
      </w:pPr>
      <w:r>
        <w:t xml:space="preserve">Напомним, согласно</w:t>
      </w:r>
      <w:r>
        <w:t xml:space="preserve"> </w:t>
      </w:r>
      <w:hyperlink r:id="rId20">
        <w:r>
          <w:rPr>
            <w:rStyle w:val="Hyperlink"/>
          </w:rPr>
          <w:t xml:space="preserve">новым правилам</w:t>
        </w:r>
      </w:hyperlink>
      <w:r>
        <w:t xml:space="preserve"> </w:t>
      </w:r>
      <w:r>
        <w:t xml:space="preserve">размещения вывесок, существующие конструкции необходимо было привести в порядок до 1 мая 2014 г. – на территории в пределах внешних границ Садового кольца, до 1 января 2015 г. – на территории в пределах внешних границ ТТК, до 1 января 2016 г. – на остальной территории города.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http://gorinfor.mos.ru/presscenter/news/detail/4481130.html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481130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mka.mos.ru/specialists/signag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4481130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mka.mos.ru/specialists/signag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2024-05-25T23:36:15Z</dcterms:created>
  <dcterms:modified xsi:type="dcterms:W3CDTF">2024-05-25T23:36:15Z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