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f9d5626c5b1566ad8131b1f868fbf22b924ee"/>
    <w:p>
      <w:pPr>
        <w:pStyle w:val="Heading3"/>
      </w:pPr>
      <w:r>
        <w:t xml:space="preserve">С января по ноябрь в Москве снесено около 47 тыс. незаконных рекламных конструкций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t xml:space="preserve">«Периодически в городе появляется незаконная реклама, брошенные или специально брошенные рекламные газели, еще объекты, штендеры, мы их просто убираем. За 11 месяцев 2016 г. было выявлено незаконное размещение 40 тыс. 815 информационно-рекламных конструкций. Это то, что размещается на фасадах в нарушение тех требований, которые у нас изложены. За этот период мы также демонтировали своими силами 46 тыс. 914 конструкций», – сказал Иван Шубин.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ИА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http://gorinfor.mos.ru/presscenter/news/detail/4371914.html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371914.html" TargetMode="External" /><Relationship Type="http://schemas.openxmlformats.org/officeDocument/2006/relationships/hyperlink" Id="rId20" Target="http://www.mskagency.ru/materials/26146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371914.html" TargetMode="External" /><Relationship Type="http://schemas.openxmlformats.org/officeDocument/2006/relationships/hyperlink" Id="rId20" Target="http://www.mskagency.ru/materials/26146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2024-06-27T11:08:32Z</dcterms:created>
  <dcterms:modified xsi:type="dcterms:W3CDTF">2024-06-27T11:08:32Z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