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59592036fcf1fee9587acb8665cba2f181f61"/>
    <w:p>
      <w:pPr>
        <w:pStyle w:val="Heading3"/>
      </w:pPr>
      <w:r>
        <w:t xml:space="preserve">Услуги департамента СМИ и рекламы Москвы, оказываемые через службу «одного окна», предоставляются в электронном виде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«Мы видим, как наступила эра digital в наружной рекламе, как благодаря новым технологиям сокращается контакт между рекламодателем и рекламораспространителем, как меняются коммуникации с потребителем. В интересах города – снижение избыточных административных барьеров в рекламной сфере, переход на современные и удобные стандарты предоставления услуг с использованием онлайн», – говорит руководитель столичного департамента СМИ и рекламы Иван Шубин.</w:t>
      </w:r>
    </w:p>
    <w:p>
      <w:pPr>
        <w:pStyle w:val="BodyText"/>
      </w:pPr>
      <w:r>
        <w:t xml:space="preserve">Дальнейшая информатизация межведомственного взаимодействия будет способствовать упрощению работы с госуслугами, сокращению списка предоставляемых документов и справок, считают в ведомстве.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http://gorinfor.mos.ru/presscenter/news/detail/4340980.html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340980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340980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2023-09-20T16:02:03Z</dcterms:created>
  <dcterms:modified xsi:type="dcterms:W3CDTF">2023-09-20T16:02:03Z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