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3163372c56efbc417f6452cbc7b5dafbb598bc9"/>
    <w:p>
      <w:pPr>
        <w:pStyle w:val="Heading3"/>
      </w:pPr>
      <w:r>
        <w:t xml:space="preserve">Москва-река становится площадкой для крупноформатной рекламы</w:t>
      </w:r>
    </w:p>
    <w:p>
      <w:pPr>
        <w:pStyle w:val="FirstParagraph"/>
      </w:pPr>
      <w:r>
        <w:t xml:space="preserve">01.12.2016</w:t>
      </w:r>
    </w:p>
    <w:p>
      <w:pPr>
        <w:pStyle w:val="BodyText"/>
      </w:pPr>
      <w:r>
        <w:t xml:space="preserve">River Screen – единственный на сегодняшний день крупный рекламный формат, доступный на территории таких знаковых для Москвы районов, как Кремлевская и Москворецкая набережные, Лужники. Несмотря на то, что в последние годы политика городских властей была направлена на сокращение объема рекламных площадей в центре города, носитель River Screen получил положительные отклики от профильных органов государственной власти. Также установка видеоэкранов на судне согласована с Министерством транспорта России и защищена патентом.</w:t>
      </w:r>
    </w:p>
    <w:p>
      <w:pPr>
        <w:pStyle w:val="BodyText"/>
      </w:pPr>
      <w:r>
        <w:t xml:space="preserve">«Видеоэкраны, установленные на нашем судне, заметны и автомобилистам, и пешеходам практически с любых точек набережных по маршруту следования. Учитывая, что стационарные крупноформатные объекты наружной рекламы в этой части города находятся под почти полным запретом, River Screen дает рекламодателям эксклюзивные возможности», – говорит исполнительный директор проекта River Screen Андрей Кормыш.</w:t>
      </w:r>
    </w:p>
    <w:p>
      <w:pPr>
        <w:pStyle w:val="BodyText"/>
      </w:pPr>
      <w:r>
        <w:t xml:space="preserve">Компания «ЭСПАР-Аналитик» разработала комплексную методику оценки аудитории проекта River Screen, учитывающая многочисленные параметры, в том числе скорость течения реки, скорость движения судна, скорость и направление движения транспортных потоков и их плотность на разных сегментах, углы и расстояния восприятия рекламной информации и т. п. Полученные медиаметрические показатели делают проект River Screen одним из лидером рынка out-of-home с высокими показателями OTS и GRP, сравнимыми с охватом телевизионных каналов. Так, ежедневный охват (OTS daily) составляет 345,7 тыс., а ежедневный GRP – 3.40.</w:t>
      </w:r>
    </w:p>
    <w:p>
      <w:pPr>
        <w:pStyle w:val="BodyText"/>
      </w:pPr>
      <w:r>
        <w:t xml:space="preserve">Первы</w:t>
      </w:r>
      <w:r>
        <w:t xml:space="preserve"> </w:t>
      </w:r>
      <w:bookmarkStart w:id="20" w:name="X1207a264b4c9f4df21fde20366a046b31aef217"/>
      <w:bookmarkEnd w:id="20"/>
      <w:r>
        <w:t xml:space="preserve"> </w:t>
      </w:r>
      <w:r>
        <w:t xml:space="preserve">й коммерческий рейс River Screen совершит сегодня, 1 декабря. На данный момент большая часть рекламного времени зарезервирована. Среди первых рекламодателей – международный автопроизводитель, ТВ-провайдер, международная платежная система и многие другие.</w:t>
      </w:r>
    </w:p>
    <w:p>
      <w:pPr>
        <w:pStyle w:val="BodyText"/>
      </w:pPr>
      <w:r>
        <w:t xml:space="preserve">Источник:</w:t>
      </w:r>
      <w:r>
        <w:t xml:space="preserve"> </w:t>
      </w:r>
      <w:hyperlink r:id="rId21">
        <w:r>
          <w:rPr>
            <w:rStyle w:val="Hyperlink"/>
          </w:rPr>
          <w:t xml:space="preserve">Outdoor.Ru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http://gorinfor.mos.ru/presscenter/news/detail/4331986.html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gorinfor.mos.ru" TargetMode="External" /><Relationship Type="http://schemas.openxmlformats.org/officeDocument/2006/relationships/hyperlink" Id="rId22" Target="http://gorinfor.mos.ru/presscenter/news/detail/4331986.html" TargetMode="External" /><Relationship Type="http://schemas.openxmlformats.org/officeDocument/2006/relationships/hyperlink" Id="rId21" Target="http://outdoo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gorinfor.mos.ru" TargetMode="External" /><Relationship Type="http://schemas.openxmlformats.org/officeDocument/2006/relationships/hyperlink" Id="rId22" Target="http://gorinfor.mos.ru/presscenter/news/detail/4331986.html" TargetMode="External" /><Relationship Type="http://schemas.openxmlformats.org/officeDocument/2006/relationships/hyperlink" Id="rId21" Target="http://outdoo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2025-05-09T00:35:25Z</dcterms:created>
  <dcterms:modified xsi:type="dcterms:W3CDTF">2025-05-09T00:35:25Z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