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eb676da42ed5e77038c92749919f2946bfa53"/>
    <w:p>
      <w:pPr>
        <w:pStyle w:val="Heading3"/>
      </w:pPr>
      <w:r>
        <w:t xml:space="preserve">Госдуме предложили закрепить за малым и средним бизнесом 20% наружной рекламы</w:t>
      </w:r>
    </w:p>
    <w:p>
      <w:pPr>
        <w:pStyle w:val="FirstParagraph"/>
      </w:pPr>
      <w:r>
        <w:t xml:space="preserve">03.11.2016</w:t>
      </w:r>
    </w:p>
    <w:p>
      <w:pPr>
        <w:pStyle w:val="BodyText"/>
      </w:pPr>
      <w:r>
        <w:t xml:space="preserve">В начале этого года ФАС пообещала, что ведомство уже в этом году намерено добиться законодательного закрепления 20% рынка наружной рекламы за представителями малого и среднего предпринимательства. В ФАС считают, что при проведении торгов на рекламные места компании из числа малого и среднего бизнеса не могут конкурировать с крупными операторами. И это ведет к их исчезновению.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http://gorinfor.mos.ru/presscenter/news/detail/4110273.html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110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110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2023-09-29T21:52:27Z</dcterms:created>
  <dcterms:modified xsi:type="dcterms:W3CDTF">2023-09-29T21:52:27Z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