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dd8280c202ff7c9c37cccd9c76f1a94d0682"/>
    <w:p>
      <w:pPr>
        <w:pStyle w:val="Heading3"/>
      </w:pPr>
      <w:r>
        <w:t xml:space="preserve">Правительственная комиссия одобрила предложение закрепить 20% наружной рекламы за малым и средним бизнесом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t xml:space="preserve">«Законопроектом, в частности, предлагается установить обязательную долю рекламных площадей, которые должны быть выставлены на торги, участниками которых будут только субъекты малого и среднего предпринимательства (не менее 20% для всех субъектов Федерации). Это позволит создать условия для повышения прозрачности ведения предпринимательской деятельности, оказания поддержки субъектам малого и среднего предпринимательства в сфере распространения наружной рекламы, развития бизнеса на уровне субъектов Федерации и муниципальных образований». – говорится в решении комиссии.</w:t>
      </w:r>
      <w:r>
        <w:t xml:space="preserve"> </w:t>
      </w:r>
      <w:r>
        <w:t xml:space="preserve">Кроме того поправки предполагают установить единый порядок проведения торгов, уточнить принципы формирования схем размещения рекламных конструкций и порядок выдачи разрешений на их установку.</w:t>
      </w:r>
      <w:r>
        <w:t xml:space="preserve"> </w:t>
      </w:r>
      <w:r>
        <w:t xml:space="preserve">Напомним, в начале этого года представители Федеральной антимонопольной службы (ФАС) России сообщали, что ведомство уже в этом году намерено добиться законодательного закрепления 20% рынка наружной рекламы за представителями малого и среднего предпринимательства. В ФАС считают, что при проведении торгов на рекламные места компании из числа малого и среднего бизнеса не могут конкурировать с крупными операторами. И это ведет к их исчезновению.</w:t>
      </w:r>
      <w:r>
        <w:t xml:space="preserve"> </w:t>
      </w:r>
      <w:r>
        <w:t xml:space="preserve">Ранее ФАС внёсла на рассмотрение правительства законопроект о новых правилах проведения рекламных аукционов. Документ предполагает предоставление квоты в 20% рекламных мест малому и среднему бизнеса. Тогда эксперты говорили о том, что он может стать ограничением от монополизма на рынке, в случае если Госдума отменит предел в 35% рекламных площадей, действующий для outdoor-операторов. Позже ограничение в 35% для владельцев конструкций действительно отменили, поскольку оно было «экономически не обосновано и не соответствовало особенностям функционирования рынка наружной рекламы».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http://gorinfor.mos.ru/presscenter/news/detail/4086516.html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086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086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2024-01-04T15:16:57Z</dcterms:created>
  <dcterms:modified xsi:type="dcterms:W3CDTF">2024-01-04T15:16:57Z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